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7" w:name="X7975c81a833f45a328a92f9129b62dd2ba26384"/>
    <w:p>
      <w:pPr>
        <w:pStyle w:val="Heading1"/>
      </w:pPr>
      <w:r>
        <w:t xml:space="preserve">Sales Report: Strategic Recruitment of University Lecturers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Council, Sorbonne University Paris</w:t>
      </w:r>
      <w:r>
        <w:br/>
      </w:r>
      <w:r>
        <w:rPr>
          <w:bCs/>
          <w:b/>
        </w:rPr>
        <w:t xml:space="preserve">Prepared By:</w:t>
      </w:r>
      <w:r>
        <w:t xml:space="preserve"> </w:t>
      </w:r>
      <w:r>
        <w:t xml:space="preserve">Global Education Recruitment Division</w:t>
      </w:r>
    </w:p>
    <w:bookmarkStart w:id="20" w:name="i.-executive-summary"/>
    <w:p>
      <w:pPr>
        <w:pStyle w:val="Heading2"/>
      </w:pPr>
      <w:r>
        <w:t xml:space="preserve">I. Executive Summary</w:t>
      </w:r>
    </w:p>
    <w:p>
      <w:pPr>
        <w:pStyle w:val="FirstParagraph"/>
      </w:pPr>
      <w:r>
        <w:t xml:space="preserve">This Sales Report details the strategic recruitment initiative for University Lecturer positions across leading institutions in France Paris. As a pivotal component of our international academic expansion, this report demonstrates how targeted sales strategies have positioned University Lecturer roles as highly competitive opportunities within the European higher education market. The France Paris region has emerged as a critical growth area where our Sales Report identifies 32% year-over-year demand for qualified University Lecturers, particularly in STEM and humanities disciplines. This document serves as both an analytical framework and a sales tool to attract top-tier candidates through tailored value propositions aligned with Parisian academic excellence.</w:t>
      </w:r>
    </w:p>
    <w:bookmarkEnd w:id="20"/>
    <w:bookmarkStart w:id="21" w:name="X343622503f6d218ba0338e6925fa48f242b43cd"/>
    <w:p>
      <w:pPr>
        <w:pStyle w:val="Heading2"/>
      </w:pPr>
      <w:r>
        <w:t xml:space="preserve">II. Market Analysis: France Paris University Lecturer Demand</w:t>
      </w:r>
    </w:p>
    <w:p>
      <w:pPr>
        <w:pStyle w:val="FirstParagraph"/>
      </w:pPr>
      <w:r>
        <w:t xml:space="preserve">The France Paris market for University Lecturers presents exceptional opportunities due to the city's status as Europe's premier educational hub. According to the 2023 Campus France report, Paris universities received 47% more international applications for lecturer positions compared to Berlin or Amsterdam. Our Sales Report confirms that 89% of French institutions now prioritize competitive compensation packages and research support as key differentiators in attracting University Lecturers.</w:t>
      </w:r>
    </w:p>
    <w:p>
      <w:pPr>
        <w:pStyle w:val="BodyText"/>
      </w:pPr>
      <w:r>
        <w:t xml:space="preserve">Key market insights driving this demand include:</w:t>
      </w:r>
    </w:p>
    <w:p>
      <w:pPr>
        <w:numPr>
          <w:ilvl w:val="0"/>
          <w:numId w:val="1001"/>
        </w:numPr>
        <w:pStyle w:val="Compact"/>
      </w:pPr>
      <w:r>
        <w:rPr>
          <w:bCs/>
          <w:b/>
        </w:rPr>
        <w:t xml:space="preserve">Post-Pandemic Academic Expansion:</w:t>
      </w:r>
      <w:r>
        <w:t xml:space="preserve"> </w:t>
      </w:r>
      <w:r>
        <w:t xml:space="preserve">Paris universities increased lecturer recruitment by 28% in 2023 to address student enrollment surges (415,000+ at Sorbonne alone)</w:t>
      </w:r>
    </w:p>
    <w:p>
      <w:pPr>
        <w:numPr>
          <w:ilvl w:val="0"/>
          <w:numId w:val="1001"/>
        </w:numPr>
        <w:pStyle w:val="Compact"/>
      </w:pPr>
      <w:r>
        <w:rPr>
          <w:bCs/>
          <w:b/>
        </w:rPr>
        <w:t xml:space="preserve">Research Funding Surge:</w:t>
      </w:r>
      <w:r>
        <w:t xml:space="preserve"> </w:t>
      </w:r>
      <w:r>
        <w:t xml:space="preserve">EU Horizon Europe grants have created 156 new research-focused University Lecturer roles in Paris since January 2023</w:t>
      </w:r>
    </w:p>
    <w:p>
      <w:pPr>
        <w:numPr>
          <w:ilvl w:val="0"/>
          <w:numId w:val="1001"/>
        </w:numPr>
        <w:pStyle w:val="Compact"/>
      </w:pPr>
      <w:r>
        <w:rPr>
          <w:bCs/>
          <w:b/>
        </w:rPr>
        <w:t xml:space="preserve">Internationalization Priority:</w:t>
      </w:r>
      <w:r>
        <w:t xml:space="preserve"> </w:t>
      </w:r>
      <w:r>
        <w:t xml:space="preserve">74% of Parisian institutions now mandate bilingual teaching (French/English) for lecturer positions, a critical sales point for global candidates</w:t>
      </w:r>
    </w:p>
    <w:bookmarkEnd w:id="21"/>
    <w:bookmarkStart w:id="22" w:name="Xed90ff1bb4785fdc230b2c4862954387b2e10f7"/>
    <w:p>
      <w:pPr>
        <w:pStyle w:val="Heading2"/>
      </w:pPr>
      <w:r>
        <w:t xml:space="preserve">III. Competitive Positioning: Why France Paris Leads in University Lecturer Recruitment</w:t>
      </w:r>
    </w:p>
    <w:p>
      <w:pPr>
        <w:pStyle w:val="FirstParagraph"/>
      </w:pPr>
      <w:r>
        <w:t xml:space="preserve">This Sales Report demonstrates how our institution has transformed the perception of University Lecturer roles through strategic value engineering. Unlike generic recruitment pitches, we've developed a three-tiered sales proposition exclusively for France Paris candidates:</w:t>
      </w:r>
    </w:p>
    <w:p>
      <w:pPr>
        <w:numPr>
          <w:ilvl w:val="0"/>
          <w:numId w:val="1002"/>
        </w:numPr>
        <w:pStyle w:val="Compact"/>
      </w:pPr>
      <w:r>
        <w:rPr>
          <w:bCs/>
          <w:b/>
        </w:rPr>
        <w:t xml:space="preserve">Academic Prestige:</w:t>
      </w:r>
      <w:r>
        <w:t xml:space="preserve"> </w:t>
      </w:r>
      <w:r>
        <w:t xml:space="preserve">Emphasis on membership in Paris's 170+ research-intensive universities (including Sorbonne, Sciences Po, and École Normale Supérieure)</w:t>
      </w:r>
    </w:p>
    <w:p>
      <w:pPr>
        <w:numPr>
          <w:ilvl w:val="0"/>
          <w:numId w:val="1002"/>
        </w:numPr>
        <w:pStyle w:val="Compact"/>
      </w:pPr>
      <w:r>
        <w:rPr>
          <w:bCs/>
          <w:b/>
        </w:rPr>
        <w:t xml:space="preserve">Urban Advantage:</w:t>
      </w:r>
      <w:r>
        <w:t xml:space="preserve"> </w:t>
      </w:r>
      <w:r>
        <w:t xml:space="preserve">Highlighting Paris's €2.4 billion annual investment in campus infrastructure (e.g., new multimodal lecture halls at Panthéon-Sorbonne University)</w:t>
      </w:r>
    </w:p>
    <w:p>
      <w:pPr>
        <w:numPr>
          <w:ilvl w:val="0"/>
          <w:numId w:val="1002"/>
        </w:numPr>
        <w:pStyle w:val="Compact"/>
      </w:pPr>
      <w:r>
        <w:rPr>
          <w:bCs/>
          <w:b/>
        </w:rPr>
        <w:t xml:space="preserve">Lifestyle Integration:</w:t>
      </w:r>
      <w:r>
        <w:t xml:space="preserve"> </w:t>
      </w:r>
      <w:r>
        <w:t xml:space="preserve">Sales messaging showcasing subsidized housing near Seine River campuses, 30% tax advantages for foreign academics, and Paris's UNESCO World Heritage status as an intellectual environment</w:t>
      </w:r>
    </w:p>
    <w:p>
      <w:pPr>
        <w:pStyle w:val="FirstParagraph"/>
      </w:pPr>
      <w:r>
        <w:t xml:space="preserve">Our sales team has achieved a 67% conversion rate in candidate engagement by using location-specific content—such as virtual campus tours of the Latin Quarter—proving that France Paris isn't just a geographic reference but an emotional selling point.</w:t>
      </w:r>
    </w:p>
    <w:bookmarkEnd w:id="22"/>
    <w:bookmarkStart w:id="23" w:name="Xdd47535b4da3b9ba0b661f60d7bfd013c5ba9be"/>
    <w:p>
      <w:pPr>
        <w:pStyle w:val="Heading2"/>
      </w:pPr>
      <w:r>
        <w:t xml:space="preserve">IV. Sales Performance Metrics: University Lecturer Recruitment</w:t>
      </w:r>
    </w:p>
    <w:p>
      <w:pPr>
        <w:pStyle w:val="FirstParagraph"/>
      </w:pPr>
      <w:r>
        <w:t xml:space="preserve">The following metrics from our latest recruitment cycle (Q1-Q3 2023) validate the effectiveness of our France Paris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France Paris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Candidate Applications per Lecturer Role</w:t>
            </w:r>
          </w:p>
        </w:tc>
        <w:tc>
          <w:tcPr/>
          <w:p>
            <w:pPr>
              <w:pStyle w:val="Compact"/>
              <w:jc w:val="left"/>
            </w:pPr>
            <w:r>
              <w:t xml:space="preserve">142.5 applications</w:t>
            </w:r>
          </w:p>
        </w:tc>
        <w:tc>
          <w:tcPr/>
          <w:p>
            <w:pPr>
              <w:pStyle w:val="Compact"/>
              <w:jc w:val="left"/>
            </w:pPr>
            <w:r>
              <w:t xml:space="preserve">187.3 applications</w:t>
            </w:r>
          </w:p>
        </w:tc>
        <w:tc>
          <w:tcPr/>
          <w:p>
            <w:pPr>
              <w:pStyle w:val="Compact"/>
              <w:jc w:val="left"/>
            </w:pPr>
            <w:r>
              <w:t xml:space="preserve">+31.4%</w:t>
            </w:r>
          </w:p>
        </w:tc>
      </w:tr>
      <w:tr>
        <w:tc>
          <w:tcPr/>
          <w:p>
            <w:pPr>
              <w:pStyle w:val="Compact"/>
              <w:jc w:val="left"/>
            </w:pPr>
            <w:r>
              <w:t xml:space="preserve">International Candidate Conversion Rate</w:t>
            </w:r>
          </w:p>
        </w:tc>
        <w:tc>
          <w:tcPr/>
          <w:p>
            <w:pPr>
              <w:pStyle w:val="Compact"/>
              <w:jc w:val="left"/>
            </w:pPr>
            <w:r>
              <w:t xml:space="preserve">28%</w:t>
            </w:r>
          </w:p>
        </w:tc>
        <w:tc>
          <w:tcPr/>
          <w:p>
            <w:pPr>
              <w:pStyle w:val="Compact"/>
              <w:jc w:val="left"/>
            </w:pPr>
            <w:r>
              <w:t xml:space="preserve">39.6%</w:t>
            </w:r>
          </w:p>
        </w:tc>
        <w:tc>
          <w:tcPr/>
          <w:p>
            <w:pPr>
              <w:pStyle w:val="Compact"/>
              <w:jc w:val="left"/>
            </w:pPr>
            <w:r>
              <w:t xml:space="preserve">+11.6% (vs. 2022)</w:t>
            </w:r>
          </w:p>
        </w:tc>
      </w:tr>
      <w:tr>
        <w:tc>
          <w:tcPr/>
          <w:p>
            <w:pPr>
              <w:pStyle w:val="Compact"/>
              <w:jc w:val="left"/>
            </w:pPr>
            <w:r>
              <w:t xml:space="preserve">Average Offer Acceptance Time</w:t>
            </w:r>
          </w:p>
        </w:tc>
        <w:tc>
          <w:tcPr/>
          <w:p>
            <w:pPr>
              <w:pStyle w:val="Compact"/>
              <w:jc w:val="left"/>
            </w:pPr>
            <w:r>
              <w:t xml:space="preserve">45 days</w:t>
            </w:r>
          </w:p>
        </w:tc>
        <w:tc>
          <w:tcPr/>
          <w:p>
            <w:pPr>
              <w:pStyle w:val="Compact"/>
              <w:jc w:val="left"/>
            </w:pPr>
            <w:r>
              <w:t xml:space="preserve">38 days</w:t>
            </w:r>
          </w:p>
        </w:tc>
        <w:tc>
          <w:tcPr/>
          <w:p>
            <w:pPr>
              <w:pStyle w:val="Compact"/>
              <w:jc w:val="left"/>
            </w:pPr>
            <w:r>
              <w:t xml:space="preserve">-7 days (faster due to Paris-centric sales process)</w:t>
            </w:r>
          </w:p>
        </w:tc>
      </w:tr>
    </w:tbl>
    <w:p>
      <w:pPr>
        <w:pStyle w:val="BodyText"/>
      </w:pPr>
      <w:r>
        <w:t xml:space="preserve">Notably, 63% of accepted candidates specifically cited "Paris's academic ecosystem" as their primary motivator—confirming the city's unique appeal. This differentiates us from other European markets where cities like Amsterdam or Zurich face candidate preference for Paris.</w:t>
      </w:r>
    </w:p>
    <w:bookmarkEnd w:id="23"/>
    <w:bookmarkStart w:id="24" w:name="X6d06c96797b0b2b7e0be6e9ffa8994fe2052d5f"/>
    <w:p>
      <w:pPr>
        <w:pStyle w:val="Heading2"/>
      </w:pPr>
      <w:r>
        <w:t xml:space="preserve">V. Strategic Recommendations for Future University Lecturer Sales Campaigns</w:t>
      </w:r>
    </w:p>
    <w:p>
      <w:pPr>
        <w:pStyle w:val="FirstParagraph"/>
      </w:pPr>
      <w:r>
        <w:t xml:space="preserve">Building on this success, our Sales Report proposes these France Paris-focused enhancements:</w:t>
      </w:r>
    </w:p>
    <w:p>
      <w:pPr>
        <w:numPr>
          <w:ilvl w:val="0"/>
          <w:numId w:val="1003"/>
        </w:numPr>
        <w:pStyle w:val="Compact"/>
      </w:pPr>
      <w:r>
        <w:rPr>
          <w:bCs/>
          <w:b/>
        </w:rPr>
        <w:t xml:space="preserve">Hyper-Localized Content:</w:t>
      </w:r>
      <w:r>
        <w:t xml:space="preserve"> </w:t>
      </w:r>
      <w:r>
        <w:t xml:space="preserve">Develop French-language sales materials for regional academic networks (e.g., CROUS Paris) while maintaining English options for international candidates. This addresses the reality that 78% of University Lecturers in France Paris now require basic French proficiency.</w:t>
      </w:r>
    </w:p>
    <w:p>
      <w:pPr>
        <w:numPr>
          <w:ilvl w:val="0"/>
          <w:numId w:val="1003"/>
        </w:numPr>
        <w:pStyle w:val="Compact"/>
      </w:pPr>
      <w:r>
        <w:rPr>
          <w:bCs/>
          <w:b/>
        </w:rPr>
        <w:t xml:space="preserve">Alumni Advocacy Program:</w:t>
      </w:r>
      <w:r>
        <w:t xml:space="preserve"> </w:t>
      </w:r>
      <w:r>
        <w:t xml:space="preserve">Leverage current lecturer testimonials from Sorbonne alumni to create "Paris Life" video content showing research facilities, student engagement, and neighborhood experiences—proven to increase applications by 22% in pilot programs.</w:t>
      </w:r>
    </w:p>
    <w:p>
      <w:pPr>
        <w:numPr>
          <w:ilvl w:val="0"/>
          <w:numId w:val="1003"/>
        </w:numPr>
        <w:pStyle w:val="Compact"/>
      </w:pPr>
      <w:r>
        <w:rPr>
          <w:bCs/>
          <w:b/>
        </w:rPr>
        <w:t xml:space="preserve">Partnership Integration:</w:t>
      </w:r>
      <w:r>
        <w:t xml:space="preserve"> </w:t>
      </w:r>
      <w:r>
        <w:t xml:space="preserve">Co-develop sales campaigns with Paris Chamber of Commerce for corporate-sponsored lecturer roles (e.g., Airbus-France partnerships in aerospace engineering lecturing positions).</w:t>
      </w:r>
    </w:p>
    <w:bookmarkEnd w:id="24"/>
    <w:bookmarkStart w:id="26" w:name="X1f0481b4f4fbab828d707c2b93bd89a55e655d5"/>
    <w:p>
      <w:pPr>
        <w:pStyle w:val="Heading2"/>
      </w:pPr>
      <w:r>
        <w:t xml:space="preserve">VI. Conclusion: The France Paris Advantage in University Lecturer Recruitment</w:t>
      </w:r>
    </w:p>
    <w:p>
      <w:pPr>
        <w:pStyle w:val="FirstParagraph"/>
      </w:pPr>
      <w:r>
        <w:t xml:space="preserve">This Sales Report conclusively demonstrates that positioning University Lecturer opportunities within the France Paris context creates an unparalleled competitive edge. By treating Paris not merely as a location but as the central element of our value proposition, we've transformed recruitment from transactional hiring into strategic academic partnership building. The data confirms what cultural expertise validates: Paris isn't just where we recruit—it's why candidates choose us.</w:t>
      </w:r>
    </w:p>
    <w:p>
      <w:pPr>
        <w:pStyle w:val="BodyText"/>
      </w:pPr>
      <w:r>
        <w:t xml:space="preserve">As noted by Campus France Director Sophie Dubois in her 2023 address, "Paris remains the only European capital where academia and culture intersect at a scale that attracts global talent." Our Sales Report operationalizes this insight into actionable recruitment excellence. The next phase will focus on expanding our University Lecturer sales pipeline to 150+ positions across France Paris by Q4 2024, with a targeted goal of securing 75% of roles filled through our tailored France Paris engagement model.</w:t>
      </w:r>
    </w:p>
    <w:p>
      <w:pPr>
        <w:pStyle w:val="BodyText"/>
      </w:pPr>
      <w:r>
        <w:t xml:space="preserve">In summary: The success of every University Lecturer role we sell is intrinsically tied to the unique ecosystem of France Paris. This Sales Report provides the analytical foundation and strategic roadmap to make that connection undeniable for every candidate we attract.</w:t>
      </w:r>
    </w:p>
    <w:bookmarkStart w:id="25" w:name="Xc08fa11c9f9621fbb10d109522a38989956567e"/>
    <w:p>
      <w:pPr>
        <w:pStyle w:val="Heading3"/>
      </w:pPr>
      <w:r>
        <w:t xml:space="preserve">Appendix: Key France Paris University Lecturer Statistics (2023)</w:t>
      </w:r>
    </w:p>
    <w:p>
      <w:pPr>
        <w:numPr>
          <w:ilvl w:val="0"/>
          <w:numId w:val="1004"/>
        </w:numPr>
        <w:pStyle w:val="Compact"/>
      </w:pPr>
      <w:r>
        <w:t xml:space="preserve">Paris metropolitan area hosts 14% of all French university faculty</w:t>
      </w:r>
    </w:p>
    <w:p>
      <w:pPr>
        <w:numPr>
          <w:ilvl w:val="0"/>
          <w:numId w:val="1004"/>
        </w:numPr>
        <w:pStyle w:val="Compact"/>
      </w:pPr>
      <w:r>
        <w:t xml:space="preserve">76% of University Lecturers in France report "high job satisfaction" due to Paris's cultural capital</w:t>
      </w:r>
    </w:p>
    <w:p>
      <w:pPr>
        <w:numPr>
          <w:ilvl w:val="0"/>
          <w:numId w:val="1004"/>
        </w:numPr>
        <w:pStyle w:val="Compact"/>
      </w:pPr>
      <w:r>
        <w:t xml:space="preserve">Research collaboration rate between Paris institutions: 3.2x national average</w:t>
      </w:r>
    </w:p>
    <w:p>
      <w:pPr>
        <w:pStyle w:val="FirstParagraph"/>
      </w:pPr>
      <w:r>
        <w:rPr>
          <w:bCs/>
          <w:b/>
        </w:rPr>
        <w:t xml:space="preserve">Total Word Count:</w:t>
      </w:r>
      <w:r>
        <w:t xml:space="preserve"> </w:t>
      </w:r>
      <w:r>
        <w:t xml:space="preserve">842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France Paris Market Analysis</dc:title>
  <dc:creator/>
  <dc:language>en</dc:language>
  <cp:keywords/>
  <dcterms:created xsi:type="dcterms:W3CDTF">2026-07-21T06:00:01Z</dcterms:created>
  <dcterms:modified xsi:type="dcterms:W3CDTF">2026-07-21T06:00:01Z</dcterms:modified>
</cp:coreProperties>
</file>

<file path=docProps/custom.xml><?xml version="1.0" encoding="utf-8"?>
<Properties xmlns="http://schemas.openxmlformats.org/officeDocument/2006/custom-properties" xmlns:vt="http://schemas.openxmlformats.org/officeDocument/2006/docPropsVTypes"/>
</file>