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27" w:name="X28c43534b53945931e229465bed466f87099bd7"/>
    <w:p>
      <w:pPr>
        <w:pStyle w:val="Heading1"/>
      </w:pPr>
      <w:r>
        <w:t xml:space="preserve">ANNUAL SALES REPORT: UNIVERSITY LECTURER RECRUITMENT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Berlin University Consortium Leadership &amp; Academic Board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recruitment outcomes for University Lecturer positions across Germany Berlin’s higher education institutions during Q4 2023. As a critical sales initiative driving academic excellence and international student enrollment, this report demonstrates how strategic recruitment of University Lecturers directly impacts Berlin’s position as Europe’s leading hub for research and innovation. Our success in attracting 187 qualified candidates—exceeding targets by 34%—confirms Berlin's competitive edge in securing top-tier academic talent. This performance underscores the vital intersection between education sales strategy and Germany’s global knowledge economy.</w:t>
      </w:r>
    </w:p>
    <w:bookmarkEnd w:id="20"/>
    <w:bookmarkStart w:id="21" w:name="X01bd5e3e4e733cf7d0b326aa0eeb8688475a519"/>
    <w:p>
      <w:pPr>
        <w:pStyle w:val="Heading2"/>
      </w:pPr>
      <w:r>
        <w:t xml:space="preserve">II. Context: The Berlin Academic Sales Landscape</w:t>
      </w:r>
    </w:p>
    <w:p>
      <w:pPr>
        <w:pStyle w:val="FirstParagraph"/>
      </w:pPr>
      <w:r>
        <w:t xml:space="preserve">Germany Berlin operates as a magnet for academic talent within Europe, with its universities consistently ranked among the continent's most innovative institutions. In 2023, we witnessed a 29% year-on-year increase in international student applications—a direct outcome of our University Lecturer recruitment strategy. The Berlin Higher Education Market is highly competitive, requiring nuanced sales approaches to position positions as career accelerators rather than standard faculty roles. Our Sales Department repositioned the University Lecturer role as a "Knowledge Sales Catalyst," emphasizing how these professionals drive student enrollment (accounting for 42% of new international students) and research grant acquisition (contributing to 17M€ in new funding).</w:t>
      </w:r>
    </w:p>
    <w:bookmarkEnd w:id="21"/>
    <w:bookmarkStart w:id="22" w:name="X7aa7d75e543ea8757a7c91380af8e8f461abd29"/>
    <w:p>
      <w:pPr>
        <w:pStyle w:val="Heading2"/>
      </w:pPr>
      <w:r>
        <w:t xml:space="preserve">III. Recruitment Strategy &amp; Sales Performance</w:t>
      </w:r>
    </w:p>
    <w:p>
      <w:pPr>
        <w:pStyle w:val="FirstParagraph"/>
      </w:pPr>
      <w:r>
        <w:rPr>
          <w:bCs/>
          <w:b/>
        </w:rPr>
        <w:t xml:space="preserve">Targeted Sales Channels:</w:t>
      </w:r>
      <w:r>
        <w:t xml:space="preserve"> </w:t>
      </w:r>
      <w:r>
        <w:t xml:space="preserve">We implemented a multi-channel sales strategy mirroring corporate best practices, deploying:</w:t>
      </w:r>
      <w:r>
        <w:br/>
      </w:r>
      <w:r>
        <w:t xml:space="preserve">• LinkedIn Talent Solutions (68% of candidates)</w:t>
      </w:r>
      <w:r>
        <w:br/>
      </w:r>
      <w:r>
        <w:t xml:space="preserve">• Academic Job Platforms (AcademicTransfer, EURAXESS) with 35% conversion rate</w:t>
      </w:r>
      <w:r>
        <w:br/>
      </w:r>
      <w:r>
        <w:t xml:space="preserve">• Berlin University Career Fairs (120+ in-person engagements)</w:t>
      </w:r>
      <w:r>
        <w:br/>
      </w:r>
      <w:r>
        <w:t xml:space="preserve">• Strategic Partnerships with German Research Councils</w:t>
      </w:r>
    </w:p>
    <w:p>
      <w:pPr>
        <w:pStyle w:val="BodyText"/>
      </w:pPr>
      <w:r>
        <w:rPr>
          <w:bCs/>
          <w:b/>
        </w:rPr>
        <w:t xml:space="preserve">Key Sales Metrics Achieved:</w:t>
      </w:r>
      <w:r>
        <w:br/>
      </w:r>
      <w:r>
        <w:t xml:space="preserve">▪️ Candidate Pipeline: 247 qualified applicants (vs. target 185)</w:t>
      </w:r>
      <w:r>
        <w:br/>
      </w:r>
      <w:r>
        <w:t xml:space="preserve">▪️ Conversion Rate to Interviews: 32% (Industry avg.: 18%)</w:t>
      </w:r>
      <w:r>
        <w:br/>
      </w:r>
      <w:r>
        <w:t xml:space="preserve">▪️ Offer Acceptance Rate: 91% (vs. Berlin benchmark of 76%)</w:t>
      </w:r>
      <w:r>
        <w:br/>
      </w:r>
      <w:r>
        <w:t xml:space="preserve">▪️ Diversity Impact: Female candidates increased from 45% to 58%</w:t>
      </w:r>
    </w:p>
    <w:p>
      <w:pPr>
        <w:pStyle w:val="BodyText"/>
      </w:pPr>
      <w:r>
        <w:t xml:space="preserve">Crucially, our sales narrative focused on Berlin-specific value propositions—emphasizing tax-free allowances for academics, the city's €12B research budget, and proximity to EU institutions. The phrase "University Lecturer in Germany Berlin" generated 47% more applicant engagement than generic job titles, proving the power of location-specific messaging.</w:t>
      </w:r>
    </w:p>
    <w:bookmarkEnd w:id="22"/>
    <w:bookmarkStart w:id="23" w:name="iv.-candidate-analysis-sales-insights"/>
    <w:p>
      <w:pPr>
        <w:pStyle w:val="Heading2"/>
      </w:pPr>
      <w:r>
        <w:t xml:space="preserve">IV. Candidate Analysis &amp; Sales Insights</w:t>
      </w:r>
    </w:p>
    <w:p>
      <w:pPr>
        <w:pStyle w:val="FirstParagraph"/>
      </w:pPr>
      <w:r>
        <w:rPr>
          <w:bCs/>
          <w:b/>
        </w:rPr>
        <w:t xml:space="preserve">Demographic Shifts:</w:t>
      </w:r>
      <w:r>
        <w:t xml:space="preserve"> </w:t>
      </w:r>
      <w:r>
        <w:t xml:space="preserve">68% of successful candidates were early-career academics (PhD within 5 years), a strategic shift to rejuvenate Berlin's faculty pipeline. Notably, 33% held dual qualifications in academic teaching + industry sales experience—proving that modern University Lecturers function as "academic brand ambassadors" who directly influence student acquisition.</w:t>
      </w:r>
    </w:p>
    <w:p>
      <w:pPr>
        <w:pStyle w:val="BodyText"/>
      </w:pPr>
      <w:r>
        <w:rPr>
          <w:bCs/>
          <w:b/>
        </w:rPr>
        <w:t xml:space="preserve">Competitive Benchmarking:</w:t>
      </w:r>
      <w:r>
        <w:t xml:space="preserve"> </w:t>
      </w:r>
      <w:r>
        <w:t xml:space="preserve">In the Germany Berlin market, our average time-to-hire (42 days) significantly outperformed competitors (58 days). This efficiency resulted from our sales team’s CRM integration with Berlin’s academic calendar, ensuring recruitment aligned with semester start cycles—a critical sales cycle consideration absent in most EU institutions.</w:t>
      </w:r>
    </w:p>
    <w:p>
      <w:pPr>
        <w:pStyle w:val="BodyText"/>
      </w:pPr>
      <w:r>
        <w:rPr>
          <w:bCs/>
          <w:b/>
        </w:rPr>
        <w:t xml:space="preserve">ROI Calculation:</w:t>
      </w:r>
      <w:r>
        <w:t xml:space="preserve"> </w:t>
      </w:r>
      <w:r>
        <w:t xml:space="preserve">Every University Lecturer hired generated 14.3% higher student retention rates in their courses compared to non-structured recruitment hires. At €85k average annual salary, this translates to €12,000 per lecturer in annual revenue via tuition retention—a 7.4x return on investment.</w:t>
      </w:r>
    </w:p>
    <w:bookmarkEnd w:id="23"/>
    <w:bookmarkStart w:id="24" w:name="v.-berlin-specific-challenges-solutions"/>
    <w:p>
      <w:pPr>
        <w:pStyle w:val="Heading2"/>
      </w:pPr>
      <w:r>
        <w:t xml:space="preserve">V. Berlin-Specific Challenges &amp; Solutions</w:t>
      </w:r>
    </w:p>
    <w:p>
      <w:pPr>
        <w:pStyle w:val="FirstParagraph"/>
      </w:pPr>
      <w:r>
        <w:t xml:space="preserve">Our sales team identified three critical Berlin market challenges requiring tailored solutions:</w:t>
      </w:r>
    </w:p>
    <w:p>
      <w:pPr>
        <w:numPr>
          <w:ilvl w:val="0"/>
          <w:numId w:val="1001"/>
        </w:numPr>
        <w:pStyle w:val="Compact"/>
      </w:pPr>
      <w:r>
        <w:rPr>
          <w:bCs/>
          <w:b/>
        </w:rPr>
        <w:t xml:space="preserve">Language Barrier:</w:t>
      </w:r>
      <w:r>
        <w:t xml:space="preserve"> </w:t>
      </w:r>
      <w:r>
        <w:t xml:space="preserve">Despite Germany’s English-medium programs, 61% of applicants requested German language support. *Sales Solution:* We developed a "Berlin Academic Language Package" (free intensive courses) as part of the offer—reducing onboarding time by 30%.</w:t>
      </w:r>
    </w:p>
    <w:p>
      <w:pPr>
        <w:numPr>
          <w:ilvl w:val="0"/>
          <w:numId w:val="1001"/>
        </w:numPr>
        <w:pStyle w:val="Compact"/>
      </w:pPr>
      <w:r>
        <w:rPr>
          <w:bCs/>
          <w:b/>
        </w:rPr>
        <w:t xml:space="preserve">Competition from Private Institutions:</w:t>
      </w:r>
      <w:r>
        <w:t xml:space="preserve"> </w:t>
      </w:r>
      <w:r>
        <w:t xml:space="preserve">Berlin’s startup ecosystem lured academics with higher salaries. *Sales Solution:* We positioned University Lecturer roles as "strategic career sales positions" with clear pathways to professorship (12% of lecturers became professors within 3 years), contrasting private sector's limited growth.</w:t>
      </w:r>
    </w:p>
    <w:p>
      <w:pPr>
        <w:numPr>
          <w:ilvl w:val="0"/>
          <w:numId w:val="1001"/>
        </w:numPr>
        <w:pStyle w:val="Compact"/>
      </w:pPr>
      <w:r>
        <w:rPr>
          <w:bCs/>
          <w:b/>
        </w:rPr>
        <w:t xml:space="preserve">Cultural Alignment:</w:t>
      </w:r>
      <w:r>
        <w:t xml:space="preserve"> </w:t>
      </w:r>
      <w:r>
        <w:t xml:space="preserve">International candidates struggled with Germany Berlin’s academic hierarchy. *Sales Solution:* Implemented "Berlin Culture Immersion Days" during interviews—boosting candidate satisfaction scores by 45%.</w:t>
      </w:r>
    </w:p>
    <w:bookmarkEnd w:id="24"/>
    <w:bookmarkStart w:id="25" w:name="vi.-strategic-recommendations-for-2024"/>
    <w:p>
      <w:pPr>
        <w:pStyle w:val="Heading2"/>
      </w:pPr>
      <w:r>
        <w:t xml:space="preserve">VI. Strategic Recommendations for 2024</w:t>
      </w:r>
    </w:p>
    <w:p>
      <w:pPr>
        <w:pStyle w:val="FirstParagraph"/>
      </w:pPr>
      <w:r>
        <w:t xml:space="preserve">To maintain Berlin's leadership in University Lecturer recruitment sales, we propose:</w:t>
      </w:r>
    </w:p>
    <w:p>
      <w:pPr>
        <w:numPr>
          <w:ilvl w:val="0"/>
          <w:numId w:val="1002"/>
        </w:numPr>
        <w:pStyle w:val="Compact"/>
      </w:pPr>
      <w:r>
        <w:rPr>
          <w:bCs/>
          <w:b/>
        </w:rPr>
        <w:t xml:space="preserve">Expand "Sales Enablement" for Lecturers:</w:t>
      </w:r>
      <w:r>
        <w:t xml:space="preserve"> </w:t>
      </w:r>
      <w:r>
        <w:t xml:space="preserve">Train existing University Lecturers as brand ambassadors to mentor applicants—leveraging their success stories to boost conversion rates by 25%.</w:t>
      </w:r>
    </w:p>
    <w:p>
      <w:pPr>
        <w:numPr>
          <w:ilvl w:val="0"/>
          <w:numId w:val="1002"/>
        </w:numPr>
        <w:pStyle w:val="Compact"/>
      </w:pPr>
      <w:r>
        <w:rPr>
          <w:bCs/>
          <w:b/>
        </w:rPr>
        <w:t xml:space="preserve">Create Berlin-Specific Talent Pools:</w:t>
      </w:r>
      <w:r>
        <w:t xml:space="preserve"> </w:t>
      </w:r>
      <w:r>
        <w:t xml:space="preserve">Develop dedicated recruitment pipelines for key sectors (AI, Sustainability) where Berlin leads Europe—targeting 40+ high-demand University Lecturer roles by Q2 2024.</w:t>
      </w:r>
    </w:p>
    <w:p>
      <w:pPr>
        <w:numPr>
          <w:ilvl w:val="0"/>
          <w:numId w:val="1002"/>
        </w:numPr>
        <w:pStyle w:val="Compact"/>
      </w:pPr>
      <w:r>
        <w:rPr>
          <w:bCs/>
          <w:b/>
        </w:rPr>
        <w:t xml:space="preserve">Implement Predictive Sales Analytics:</w:t>
      </w:r>
      <w:r>
        <w:t xml:space="preserve"> </w:t>
      </w:r>
      <w:r>
        <w:t xml:space="preserve">Use AI to forecast Berlin’s academic talent needs based on EU funding trends—aligning recruitment with Germany’s National Research Strategy.</w:t>
      </w:r>
    </w:p>
    <w:p>
      <w:pPr>
        <w:numPr>
          <w:ilvl w:val="0"/>
          <w:numId w:val="1002"/>
        </w:numPr>
        <w:pStyle w:val="Compact"/>
      </w:pPr>
      <w:r>
        <w:rPr>
          <w:bCs/>
          <w:b/>
        </w:rPr>
        <w:t xml:space="preserve">Promote Berlin as a "Sales Ecosystem":</w:t>
      </w:r>
      <w:r>
        <w:t xml:space="preserve"> </w:t>
      </w:r>
      <w:r>
        <w:t xml:space="preserve">Showcase how University Lecturers directly contribute to Berlin's €21B knowledge economy (via student startups, research spin-offs) in all marketing materials.</w:t>
      </w:r>
    </w:p>
    <w:bookmarkEnd w:id="25"/>
    <w:bookmarkStart w:id="26" w:name="X8ff2274005039e2261a29cfef925695fba798c6"/>
    <w:p>
      <w:pPr>
        <w:pStyle w:val="Heading2"/>
      </w:pPr>
      <w:r>
        <w:t xml:space="preserve">VII. Conclusion: The Sales Imperative of Academic Excellence in Berlin</w:t>
      </w:r>
    </w:p>
    <w:p>
      <w:pPr>
        <w:pStyle w:val="FirstParagraph"/>
      </w:pPr>
      <w:r>
        <w:t xml:space="preserve">This report confirms that recruiting University Lecturers is not merely an HR function—it is the core sales engine for Berlin's academic and economic identity. In Germany, where universities drive 35% of national innovation output, our success in positioning the University Lecturer role as a high-impact sales position has directly contributed to Berlin’s ranking as Europe’s top destination for research talent (QS 2023). By treating faculty recruitment as strategic sales, we’ve transformed how Berlin attracts talent: The phrase "University Lecturer Germany Berlin" now generates twice the applicant engagement compared to generic academic roles. As our Sales Department continues refining these strategies, we will solidify Berlin’s position as the global benchmark for university-led economic growth—one lecturer at a time.</w:t>
      </w:r>
    </w:p>
    <w:p>
      <w:pPr>
        <w:pStyle w:val="BodyText"/>
      </w:pPr>
      <w:r>
        <w:rPr>
          <w:bCs/>
          <w:b/>
        </w:rPr>
        <w:t xml:space="preserve">Appendix:</w:t>
      </w:r>
      <w:r>
        <w:t xml:space="preserve"> </w:t>
      </w:r>
      <w:r>
        <w:t xml:space="preserve">2023 Recruitment Data by Institution (Berlin Universities):</w:t>
      </w:r>
      <w:r>
        <w:br/>
      </w:r>
      <w:r>
        <w:t xml:space="preserve">• Humboldt University: 58 lecturers (12% above target)</w:t>
      </w:r>
      <w:r>
        <w:br/>
      </w:r>
      <w:r>
        <w:t xml:space="preserve">• TU Berlin: 49 lecturers (18% above)</w:t>
      </w:r>
      <w:r>
        <w:br/>
      </w:r>
      <w:r>
        <w:t xml:space="preserve">• Freie Universität Berlin: 60 lecturers (7% above)</w:t>
      </w:r>
      <w:r>
        <w:br/>
      </w:r>
      <w:r>
        <w:t xml:space="preserve">• Charité Medical School: 20 lecturers (35% above)</w:t>
      </w:r>
    </w:p>
    <w:p>
      <w:pPr>
        <w:pStyle w:val="BodyText"/>
      </w:pPr>
      <w:r>
        <w:rPr>
          <w:bCs/>
          <w:b/>
        </w:rPr>
        <w:t xml:space="preserve">Prepared By:</w:t>
      </w:r>
      <w:r>
        <w:t xml:space="preserve"> </w:t>
      </w:r>
      <w:r>
        <w:t xml:space="preserve">Academic Sales &amp; Talent Strategy Division, Berlin University Consortium</w:t>
      </w:r>
      <w:r>
        <w:br/>
      </w:r>
      <w:r>
        <w:rPr>
          <w:bCs/>
          <w:b/>
        </w:rPr>
        <w:t xml:space="preserve">Contact:</w:t>
      </w:r>
      <w:r>
        <w:t xml:space="preserve"> </w:t>
      </w:r>
      <w:r>
        <w:t xml:space="preserve">career.sales@berlinuniversities.de | +49 30 12345678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Recruitment in Germany Berlin</dc:title>
  <dc:creator/>
  <dc:language>en</dc:language>
  <cp:keywords/>
  <dcterms:created xsi:type="dcterms:W3CDTF">2026-07-23T15:12:57Z</dcterms:created>
  <dcterms:modified xsi:type="dcterms:W3CDTF">2026-07-23T15:12:57Z</dcterms:modified>
</cp:coreProperties>
</file>

<file path=docProps/custom.xml><?xml version="1.0" encoding="utf-8"?>
<Properties xmlns="http://schemas.openxmlformats.org/officeDocument/2006/custom-properties" xmlns:vt="http://schemas.openxmlformats.org/officeDocument/2006/docPropsVTypes"/>
</file>