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5b61fce5680e2582b76371d8bb631f9485320b7"/>
    <w:p>
      <w:pPr>
        <w:pStyle w:val="Heading1"/>
      </w:pPr>
      <w:r>
        <w:t xml:space="preserve">Sales Report: Strategic Recruitment of University Lecturers Across India with Focus on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Talent Acquisition Division, India National Education Council</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recruitment performance for University Lecturer positions across premier educational institutions in India, with intensive focus on the New Delhi metropolitan region. During Q3 2023, we achieved a 15% year-over-year growth in qualified University Lecturer placements within India New Delhi, securing 47 critical academic roles compared to 41 in Q3 2022. This success marks a strategic shift toward targeted talent acquisition for Tier-1 institutions, directly aligning with the Government of India's National Education Policy (NEP) 2020 objectives for faculty augmentation. The New Delhi market contributed 68% of total placements, underscoring its pivotal role in our national recruitment strategy.</w:t>
      </w:r>
    </w:p>
    <w:bookmarkEnd w:id="20"/>
    <w:bookmarkStart w:id="21" w:name="Xe0e16a6c6a4d4b6156e51ff448d259fa8208337"/>
    <w:p>
      <w:pPr>
        <w:pStyle w:val="Heading2"/>
      </w:pPr>
      <w:r>
        <w:t xml:space="preserve">II. Market Analysis: University Lecturer Demand in India New Delhi</w:t>
      </w:r>
    </w:p>
    <w:p>
      <w:pPr>
        <w:pStyle w:val="FirstParagraph"/>
      </w:pPr>
      <w:r>
        <w:t xml:space="preserve">The demand for qualified University Lecturers has surged exponentially across India, with New Delhi emerging as the epicenter of academic talent acquisition. As the capital city housing 37% of India's central universities (including JNU, DU, and IITs) and 62% of top-ranked private institutions, New Delhi represents a high-value sales territory. Our market intelligence reveals that:</w:t>
      </w:r>
    </w:p>
    <w:p>
      <w:pPr>
        <w:numPr>
          <w:ilvl w:val="0"/>
          <w:numId w:val="1001"/>
        </w:numPr>
        <w:pStyle w:val="Compact"/>
      </w:pPr>
      <w:r>
        <w:t xml:space="preserve">University Lecturer vacancies increased by 22% YoY in Delhi-NCR due to NEP-driven infrastructure expansion</w:t>
      </w:r>
    </w:p>
    <w:p>
      <w:pPr>
        <w:numPr>
          <w:ilvl w:val="0"/>
          <w:numId w:val="1001"/>
        </w:numPr>
        <w:pStyle w:val="Compact"/>
      </w:pPr>
      <w:r>
        <w:t xml:space="preserve">89% of institutions prioritize candidates with industry experience – a critical differentiator in our sales pitch</w:t>
      </w:r>
    </w:p>
    <w:p>
      <w:pPr>
        <w:numPr>
          <w:ilvl w:val="0"/>
          <w:numId w:val="1001"/>
        </w:numPr>
        <w:pStyle w:val="Compact"/>
      </w:pPr>
      <w:r>
        <w:t xml:space="preserve">New Delhi's median salary premium for University Lecturers exceeds national averages by 18%</w:t>
      </w:r>
    </w:p>
    <w:p>
      <w:pPr>
        <w:pStyle w:val="FirstParagraph"/>
      </w:pPr>
      <w:r>
        <w:t xml:space="preserve">This data confirms that targeting the India New Delhi market isn't just strategic—it's essential for meeting national educational goals. The Sales Report identifies New Delhi as our most profitable vertical, generating 76% of total revenue from lecturer recruitment in Q3.</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(Units)</w:t>
            </w:r>
          </w:p>
        </w:tc>
        <w:tc>
          <w:tcPr/>
          <w:p>
            <w:pPr>
              <w:pStyle w:val="Compact"/>
              <w:jc w:val="left"/>
            </w:pPr>
            <w:r>
              <w:t xml:space="preserve">% of Total India Sales</w:t>
            </w:r>
          </w:p>
        </w:tc>
        <w:tc>
          <w:tcPr/>
          <w:p>
            <w:pPr>
              <w:pStyle w:val="Compact"/>
              <w:jc w:val="left"/>
            </w:pPr>
            <w:r>
              <w:t xml:space="preserve">% YoY Change</w:t>
            </w:r>
          </w:p>
        </w:tc>
      </w:tr>
      <w:tr>
        <w:tc>
          <w:tcPr/>
          <w:p>
            <w:pPr>
              <w:pStyle w:val="Compact"/>
              <w:jc w:val="left"/>
            </w:pPr>
            <w:r>
              <w:t xml:space="preserve">New Delhi Metropolitan Area</w:t>
            </w:r>
          </w:p>
        </w:tc>
        <w:tc>
          <w:tcPr/>
          <w:p>
            <w:pPr>
              <w:pStyle w:val="Compact"/>
              <w:jc w:val="left"/>
            </w:pPr>
            <w:r>
              <w:t xml:space="preserve">47</w:t>
            </w:r>
          </w:p>
        </w:tc>
        <w:tc>
          <w:tcPr/>
          <w:p>
            <w:pPr>
              <w:pStyle w:val="Compact"/>
              <w:jc w:val="left"/>
            </w:pPr>
            <w:r>
              <w:t xml:space="preserve">68%</w:t>
            </w:r>
          </w:p>
        </w:tc>
        <w:tc>
          <w:tcPr/>
          <w:p>
            <w:pPr>
              <w:pStyle w:val="Compact"/>
              <w:jc w:val="left"/>
            </w:pPr>
            <w:r>
              <w:t xml:space="preserve">+15%</w:t>
            </w:r>
          </w:p>
        </w:tc>
      </w:tr>
      <w:tr>
        <w:tc>
          <w:tcPr/>
          <w:p>
            <w:pPr>
              <w:pStyle w:val="Compact"/>
              <w:jc w:val="left"/>
            </w:pPr>
            <w:r>
              <w:t xml:space="preserve">Other Tier-1 Cities (Mumbai, Bangalore)</w:t>
            </w:r>
          </w:p>
        </w:tc>
        <w:tc>
          <w:tcPr/>
          <w:p>
            <w:pPr>
              <w:pStyle w:val="Compact"/>
              <w:jc w:val="left"/>
            </w:pPr>
            <w:r>
              <w:t xml:space="preserve">22</w:t>
            </w:r>
          </w:p>
        </w:tc>
        <w:tc>
          <w:tcPr/>
          <w:p>
            <w:pPr>
              <w:pStyle w:val="Compact"/>
              <w:jc w:val="left"/>
            </w:pPr>
            <w:r>
              <w:t xml:space="preserve">32%</w:t>
            </w:r>
          </w:p>
        </w:tc>
        <w:tc>
          <w:tcPr/>
          <w:p>
            <w:pPr>
              <w:pStyle w:val="Compact"/>
              <w:jc w:val="left"/>
            </w:pPr>
            <w:r>
              <w:t xml:space="preserve">+9%</w:t>
            </w:r>
          </w:p>
        </w:tc>
      </w:tr>
    </w:tbl>
    <w:p>
      <w:pPr>
        <w:pStyle w:val="BodyText"/>
      </w:pPr>
      <w:r>
        <w:t xml:space="preserve">The sales team deployed specialized strategies for India New Delhi institutions, including:</w:t>
      </w:r>
    </w:p>
    <w:p>
      <w:pPr>
        <w:numPr>
          <w:ilvl w:val="0"/>
          <w:numId w:val="1002"/>
        </w:numPr>
        <w:pStyle w:val="Compact"/>
      </w:pPr>
      <w:r>
        <w:rPr>
          <w:bCs/>
          <w:b/>
        </w:rPr>
        <w:t xml:space="preserve">NEP 2020 Workshops:</w:t>
      </w:r>
      <w:r>
        <w:t xml:space="preserve"> </w:t>
      </w:r>
      <w:r>
        <w:t xml:space="preserve">Partnering with Delhi University to conduct faculty readiness sessions, converting 34% of attendees into placements</w:t>
      </w:r>
    </w:p>
    <w:p>
      <w:pPr>
        <w:numPr>
          <w:ilvl w:val="0"/>
          <w:numId w:val="1002"/>
        </w:numPr>
        <w:pStyle w:val="Compact"/>
      </w:pPr>
      <w:r>
        <w:rPr>
          <w:bCs/>
          <w:b/>
        </w:rPr>
        <w:t xml:space="preserve">Industry-Academia Partnerships:</w:t>
      </w:r>
      <w:r>
        <w:t xml:space="preserve"> </w:t>
      </w:r>
      <w:r>
        <w:t xml:space="preserve">Aligning candidate profiles with corporate needs (e.g., IIT Delhi's industry-linked lecturer roles)</w:t>
      </w:r>
    </w:p>
    <w:bookmarkEnd w:id="22"/>
    <w:bookmarkStart w:id="23" w:name="iv.-challenges-competitive-landscape"/>
    <w:p>
      <w:pPr>
        <w:pStyle w:val="Heading2"/>
      </w:pPr>
      <w:r>
        <w:t xml:space="preserve">IV. Challenges &amp; Competitive Landscape</w:t>
      </w:r>
    </w:p>
    <w:p>
      <w:pPr>
        <w:pStyle w:val="FirstParagraph"/>
      </w:pPr>
      <w:r>
        <w:t xml:space="preserve">Despite strong performance, the University Lecturer recruitment market in India New Delhi faces unique challenges:</w:t>
      </w:r>
    </w:p>
    <w:p>
      <w:pPr>
        <w:numPr>
          <w:ilvl w:val="0"/>
          <w:numId w:val="1003"/>
        </w:numPr>
        <w:pStyle w:val="Compact"/>
      </w:pPr>
      <w:r>
        <w:rPr>
          <w:bCs/>
          <w:b/>
        </w:rPr>
        <w:t xml:space="preserve">Talent Retention Pressure:</w:t>
      </w:r>
      <w:r>
        <w:t xml:space="preserve"> </w:t>
      </w:r>
      <w:r>
        <w:t xml:space="preserve">43% of lecturers accept offers but leave within 18 months due to salary gaps – requiring our sales team to emphasize long-term career pathways</w:t>
      </w:r>
    </w:p>
    <w:p>
      <w:pPr>
        <w:numPr>
          <w:ilvl w:val="0"/>
          <w:numId w:val="1003"/>
        </w:numPr>
        <w:pStyle w:val="Compact"/>
      </w:pPr>
      <w:r>
        <w:rPr>
          <w:bCs/>
          <w:b/>
        </w:rPr>
        <w:t xml:space="preserve">Regional Competition:</w:t>
      </w:r>
      <w:r>
        <w:t xml:space="preserve"> </w:t>
      </w:r>
      <w:r>
        <w:t xml:space="preserve">Competitors like EduVista captured 29% of New Delhi placements by offering higher initial packages (addressed through our "Career Growth" sales proposition)</w:t>
      </w:r>
    </w:p>
    <w:p>
      <w:pPr>
        <w:numPr>
          <w:ilvl w:val="0"/>
          <w:numId w:val="1003"/>
        </w:numPr>
        <w:pStyle w:val="Compact"/>
      </w:pPr>
      <w:r>
        <w:rPr>
          <w:bCs/>
          <w:b/>
        </w:rPr>
        <w:t xml:space="preserve">Regulatory Shifts:</w:t>
      </w:r>
      <w:r>
        <w:t xml:space="preserve"> </w:t>
      </w:r>
      <w:r>
        <w:t xml:space="preserve">UGC's new qualification norms requiring 5+ years experience for University Lecturers reduced candidate pool by 19%</w:t>
      </w:r>
    </w:p>
    <w:p>
      <w:pPr>
        <w:pStyle w:val="FirstParagraph"/>
      </w:pPr>
      <w:r>
        <w:t xml:space="preserve">The Sales Report confirms that our differentiator lies in our India New Delhi network: deep relationships with Delhi-based councils like the Delhi University Academic Staff Association (DUASA) and NCTE-affiliated bodies. This local expertise directly translated to a 37% higher conversion rate than competitors.</w:t>
      </w:r>
    </w:p>
    <w:bookmarkEnd w:id="23"/>
    <w:bookmarkStart w:id="24" w:name="v.-strategic-recommendations-for-q4-2023"/>
    <w:p>
      <w:pPr>
        <w:pStyle w:val="Heading2"/>
      </w:pPr>
      <w:r>
        <w:t xml:space="preserve">V. Strategic Recommendations for Q4 2023</w:t>
      </w:r>
    </w:p>
    <w:p>
      <w:pPr>
        <w:pStyle w:val="FirstParagraph"/>
      </w:pPr>
      <w:r>
        <w:t xml:space="preserve">Based on sales data analysis, we recommend three action areas focused on sustaining University Lecturer recruitment momentum in India New Delhi:</w:t>
      </w:r>
    </w:p>
    <w:p>
      <w:pPr>
        <w:numPr>
          <w:ilvl w:val="0"/>
          <w:numId w:val="1004"/>
        </w:numPr>
        <w:pStyle w:val="Compact"/>
      </w:pPr>
      <w:r>
        <w:rPr>
          <w:bCs/>
          <w:b/>
        </w:rPr>
        <w:t xml:space="preserve">Expand Industry-Academia Integration:</w:t>
      </w:r>
      <w:r>
        <w:t xml:space="preserve"> </w:t>
      </w:r>
      <w:r>
        <w:t xml:space="preserve">Partner with Delhi's 87 industrial clusters (e.g., Cyber City, Gurgaon IT hub) to co-design lecturer profiles, directly addressing the "applied knowledge" demand cited by 74% of New Delhi institutions.</w:t>
      </w:r>
    </w:p>
    <w:p>
      <w:pPr>
        <w:numPr>
          <w:ilvl w:val="0"/>
          <w:numId w:val="1004"/>
        </w:numPr>
        <w:pStyle w:val="Compact"/>
      </w:pPr>
      <w:r>
        <w:rPr>
          <w:bCs/>
          <w:b/>
        </w:rPr>
        <w:t xml:space="preserve">Launch New Delhi Faculty Development Program:</w:t>
      </w:r>
      <w:r>
        <w:t xml:space="preserve"> </w:t>
      </w:r>
      <w:r>
        <w:t xml:space="preserve">A sales initiative offering free skill workshops for candidates – projected to increase qualified applicant pool by 25% in Q4.</w:t>
      </w:r>
    </w:p>
    <w:p>
      <w:pPr>
        <w:numPr>
          <w:ilvl w:val="0"/>
          <w:numId w:val="1004"/>
        </w:numPr>
        <w:pStyle w:val="Compact"/>
      </w:pPr>
      <w:r>
        <w:rPr>
          <w:bCs/>
          <w:b/>
        </w:rPr>
        <w:t xml:space="preserve">Tier-2 City Expansion Strategy:</w:t>
      </w:r>
      <w:r>
        <w:t xml:space="preserve"> </w:t>
      </w:r>
      <w:r>
        <w:t xml:space="preserve">Replicate New Delhi's success in Pune and Hyderabad while maintaining focus on India New Delhi as the flagship market (target: 75% of placements from metro cities).</w:t>
      </w:r>
    </w:p>
    <w:bookmarkEnd w:id="24"/>
    <w:bookmarkStart w:id="25" w:name="Xe8294c31ccd8bbe61b36810334fc04c6f6733c6"/>
    <w:p>
      <w:pPr>
        <w:pStyle w:val="Heading2"/>
      </w:pPr>
      <w:r>
        <w:t xml:space="preserve">VI. Conclusion: The India New Delhi Imperative</w:t>
      </w:r>
    </w:p>
    <w:p>
      <w:pPr>
        <w:pStyle w:val="FirstParagraph"/>
      </w:pPr>
      <w:r>
        <w:t xml:space="preserve">This Sales Report unequivocally demonstrates that University Lecturer recruitment in India New Delhi is not merely a regional sales channel – it's the cornerstone of our national education strategy. With 89% of top Indian universities located within 100km of Delhi and the city driving 76% of our total lecturer placements, prioritizing New Delhi isn't optional; it's mission-critical.</w:t>
      </w:r>
    </w:p>
    <w:p>
      <w:pPr>
        <w:pStyle w:val="BodyText"/>
      </w:pPr>
      <w:r>
        <w:t xml:space="preserve">As NEP 2020 accelerates university expansion across India, our sales model for University Lecturer recruitment must evolve beyond transactional hiring. The data confirms that institutions in India New Delhi demand partners who understand local academic ecosystems – a position we've established through Q3's 15% growth. We recommend doubling down on New Delhi's strategic importance: allocating 50% of our talent acquisition budget here in Q4, with measurable targets for lecturer placements exceeding 60.</w:t>
      </w:r>
    </w:p>
    <w:p>
      <w:pPr>
        <w:pStyle w:val="BodyText"/>
      </w:pPr>
      <w:r>
        <w:t xml:space="preserve">For the National Education Policy to succeed, quality faculty must reach every classroom. Our Sales Report proves that India New Delhi remains the pivotal market where this transformation begins – and where our University Lecturer recruitment strategy delivers unmatched results.</w:t>
      </w:r>
    </w:p>
    <w:bookmarkEnd w:id="25"/>
    <w:bookmarkStart w:id="26" w:name="vii.-appendix-key-metrics"/>
    <w:p>
      <w:pPr>
        <w:pStyle w:val="Heading2"/>
      </w:pPr>
      <w:r>
        <w:t xml:space="preserve">VII. Appendix: Key Metrics</w:t>
      </w:r>
    </w:p>
    <w:p>
      <w:pPr>
        <w:numPr>
          <w:ilvl w:val="0"/>
          <w:numId w:val="1005"/>
        </w:numPr>
        <w:pStyle w:val="Compact"/>
      </w:pPr>
      <w:r>
        <w:t xml:space="preserve">Net Revenue from University Lecturer Placements: ₹1.87 Cr (Q3 2023)</w:t>
      </w:r>
    </w:p>
    <w:p>
      <w:pPr>
        <w:numPr>
          <w:ilvl w:val="0"/>
          <w:numId w:val="1005"/>
        </w:numPr>
        <w:pStyle w:val="Compact"/>
      </w:pPr>
      <w:r>
        <w:t xml:space="preserve">New Delhi Client Retention Rate: 92% (vs industry avg. 76%)</w:t>
      </w:r>
    </w:p>
    <w:p>
      <w:pPr>
        <w:numPr>
          <w:ilvl w:val="0"/>
          <w:numId w:val="1005"/>
        </w:numPr>
        <w:pStyle w:val="Compact"/>
      </w:pPr>
      <w:r>
        <w:t xml:space="preserve">Average Time-to-Fill for University Lecturer Roles in New Delhi: 48 days (vs national avg. 65)</w:t>
      </w:r>
    </w:p>
    <w:p>
      <w:pPr>
        <w:pStyle w:val="FirstParagraph"/>
      </w:pPr>
      <w:r>
        <w:rPr>
          <w:iCs/>
          <w:i/>
        </w:rPr>
        <w:t xml:space="preserve">Prepared by: National Academic Sales Division</w:t>
      </w:r>
      <w:r>
        <w:br/>
      </w:r>
      <w:r>
        <w:rPr>
          <w:iCs/>
          <w:i/>
        </w:rPr>
        <w:t xml:space="preserve">Verified by: Director of Institutional Partnerships, India Education Group</w:t>
      </w:r>
      <w:r>
        <w:br/>
      </w:r>
      <w:r>
        <w:rPr>
          <w:iCs/>
          <w:i/>
        </w:rPr>
        <w:t xml:space="preserve">Confidentiality Level: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India New Delhi</dc:title>
  <dc:creator/>
  <dc:language>en</dc:language>
  <cp:keywords/>
  <dcterms:created xsi:type="dcterms:W3CDTF">2025-12-12T13:19:23Z</dcterms:created>
  <dcterms:modified xsi:type="dcterms:W3CDTF">2025-12-12T13:19:23Z</dcterms:modified>
</cp:coreProperties>
</file>

<file path=docProps/custom.xml><?xml version="1.0" encoding="utf-8"?>
<Properties xmlns="http://schemas.openxmlformats.org/officeDocument/2006/custom-properties" xmlns:vt="http://schemas.openxmlformats.org/officeDocument/2006/docPropsVTypes"/>
</file>