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Recruitment</w:t>
      </w:r>
      <w:r>
        <w:t xml:space="preserve"> </w:t>
      </w:r>
      <w:r>
        <w:t xml:space="preserve">Success</w:t>
      </w:r>
    </w:p>
    <w:bookmarkStart w:id="28" w:name="X2956d6dc3de51789c923f9e5abacc19acf96666"/>
    <w:p>
      <w:pPr>
        <w:pStyle w:val="Heading1"/>
      </w:pPr>
      <w:r>
        <w:t xml:space="preserve">Sales Report: Strategic Recruitment and Onboarding of University Lecturer at Leading Institution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Leadership &amp; Human Resources Board, Tel Aviv University</w:t>
      </w:r>
      <w:r>
        <w:br/>
      </w:r>
      <w:r>
        <w:rPr>
          <w:bCs/>
          <w:b/>
        </w:rPr>
        <w:t xml:space="preserve">Report Type:</w:t>
      </w:r>
      <w:r>
        <w:t xml:space="preserve"> </w:t>
      </w:r>
      <w:r>
        <w:t xml:space="preserve">Talent Acquisition Sales Performance Analysis</w:t>
      </w:r>
    </w:p>
    <w:bookmarkStart w:id="20" w:name="i.-executive-summary"/>
    <w:p>
      <w:pPr>
        <w:pStyle w:val="Heading2"/>
      </w:pPr>
      <w:r>
        <w:t xml:space="preserve">I. Executive Summary</w:t>
      </w:r>
    </w:p>
    <w:p>
      <w:pPr>
        <w:pStyle w:val="FirstParagraph"/>
      </w:pPr>
      <w:r>
        <w:t xml:space="preserve">This comprehensive Sales Report documents the successful recruitment and onboarding of a highly qualified University Lecturer position at our premier institution in Israel Tel Aviv. As part of our strategic talent acquisition initiative, we executed an industry-leading recruitment campaign that achieved 100% fill rate within 68 days – surpassing the target timeline by 32 days. The selected candidate, Dr. Naomi Cohen, represents a significant sales victory in securing top-tier academic talent for Tel Aviv's competitive higher education landscape. This report details our market-driven approach, candidate acquisition metrics, and anticipated ROI through enhanced student engagement and research output within Israel Tel Aviv's academic ecosystem.</w:t>
      </w:r>
    </w:p>
    <w:bookmarkEnd w:id="20"/>
    <w:bookmarkStart w:id="21" w:name="Xebb90768758599019bf882ce46c0da5061e19ef"/>
    <w:p>
      <w:pPr>
        <w:pStyle w:val="Heading2"/>
      </w:pPr>
      <w:r>
        <w:t xml:space="preserve">II. Market Context: Why University Lecturer Recruitment Matters in Israel Tel Aviv</w:t>
      </w:r>
    </w:p>
    <w:p>
      <w:pPr>
        <w:pStyle w:val="FirstParagraph"/>
      </w:pPr>
      <w:r>
        <w:t xml:space="preserve">The Tel Aviv metropolitan area has emerged as Israel's undisputed academic powerhouse, hosting 70% of the country's university research output and attracting 45% of international students. With the Israeli Ministry of Higher Education projecting a 23% increase in STEM program enrollments by 2025, demand for specialized University Lecturers has intensified exponentially. Our institution in Israel Tel Aviv faces unique challenges: competing with global tech hubs (e.g., Google's Tel Aviv R&amp;D center), attracting candidates who value both academic rigor and industry relevance, and addressing the critical shortage of linguistically diverse lecturers in Arabic-Hebrew bilingual programs. This Sales Report demonstrates how we transformed recruitment from a reactive process into a strategic sales operation that delivers measurable competitive advantage.</w:t>
      </w:r>
    </w:p>
    <w:bookmarkEnd w:id="21"/>
    <w:bookmarkStart w:id="22" w:name="Xf740310c5df0d5098613f861eba1f552ce3d161"/>
    <w:p>
      <w:pPr>
        <w:pStyle w:val="Heading2"/>
      </w:pPr>
      <w:r>
        <w:t xml:space="preserve">III. The Sales Process: From Lead Generation to Closing the Deal</w:t>
      </w:r>
    </w:p>
    <w:p>
      <w:pPr>
        <w:pStyle w:val="FirstParagraph"/>
      </w:pPr>
      <w:r>
        <w:t xml:space="preserve">We implemented a consultative sales methodology mirroring B2B enterprise recruitment, treating candidates as premium clients requiring personalized engagement:</w:t>
      </w:r>
    </w:p>
    <w:p>
      <w:pPr>
        <w:numPr>
          <w:ilvl w:val="0"/>
          <w:numId w:val="1001"/>
        </w:numPr>
        <w:pStyle w:val="Compact"/>
      </w:pPr>
      <w:r>
        <w:rPr>
          <w:bCs/>
          <w:b/>
        </w:rPr>
        <w:t xml:space="preserve">Lead Generation (Weeks 1-3):</w:t>
      </w:r>
      <w:r>
        <w:t xml:space="preserve"> </w:t>
      </w:r>
      <w:r>
        <w:t xml:space="preserve">Deployed targeted "sales" outreach via LinkedIn Sales Navigator and academic databases (ERIC, Scopus), focusing on PhD-holders with industry experience in Tel Aviv's tech cluster. Generated 217 qualified leads through tailored value propositions emphasizing our research grants program.</w:t>
      </w:r>
    </w:p>
    <w:p>
      <w:pPr>
        <w:numPr>
          <w:ilvl w:val="0"/>
          <w:numId w:val="1001"/>
        </w:numPr>
        <w:pStyle w:val="Compact"/>
      </w:pPr>
      <w:r>
        <w:rPr>
          <w:bCs/>
          <w:b/>
        </w:rPr>
        <w:t xml:space="preserve">Solution Presentation (Weeks 4-5):</w:t>
      </w:r>
      <w:r>
        <w:t xml:space="preserve"> </w:t>
      </w:r>
      <w:r>
        <w:t xml:space="preserve">Conducted virtual "product demos" showcasing campus facilities, Israel Tel Aviv's innovation ecosystem, and our unique lecturer development pathway – including $50K annual research stipend for community-engaged projects in Tel Aviv neighborhoods.</w:t>
      </w:r>
    </w:p>
    <w:p>
      <w:pPr>
        <w:numPr>
          <w:ilvl w:val="0"/>
          <w:numId w:val="1001"/>
        </w:numPr>
        <w:pStyle w:val="Compact"/>
      </w:pPr>
      <w:r>
        <w:rPr>
          <w:bCs/>
          <w:b/>
        </w:rPr>
        <w:t xml:space="preserve">Negotiation &amp; Closing (Weeks 6-7):</w:t>
      </w:r>
      <w:r>
        <w:t xml:space="preserve"> </w:t>
      </w:r>
      <w:r>
        <w:t xml:space="preserve">Closed the deal with Dr. Cohen after presenting customized career trajectory mapping aligned with her expertise in AI ethics – a field experiencing 300% growth in Tel Aviv startups. Negotiated competitive relocation package including subsidized housing near our Rambam Campus.</w:t>
      </w:r>
    </w:p>
    <w:bookmarkEnd w:id="22"/>
    <w:bookmarkStart w:id="24" w:name="X6bac446832ea1dc82f4f5384a4c9219c14266f1"/>
    <w:p>
      <w:pPr>
        <w:pStyle w:val="Heading2"/>
      </w:pPr>
      <w:r>
        <w:t xml:space="preserve">IV. Performance Metrics: Sales Report Highlights</w:t>
      </w:r>
    </w:p>
    <w:p>
      <w:pPr>
        <w:pStyle w:val="FirstParagraph"/>
      </w:pPr>
      <w:r>
        <w:t xml:space="preserve">KPI</w:t>
      </w:r>
    </w:p>
    <w:p>
      <w:pPr>
        <w:pStyle w:val="BodyText"/>
      </w:pPr>
      <w:r>
        <w:t xml:space="preserve">Target</w:t>
      </w:r>
    </w:p>
    <w:p>
      <w:pPr>
        <w:pStyle w:val="BodyText"/>
      </w:pPr>
      <w:r>
        <w:t xml:space="preserve">Actual Result</w:t>
      </w:r>
    </w:p>
    <w:p>
      <w:pPr>
        <w:pStyle w:val="BodyText"/>
      </w:pPr>
      <w:r>
        <w:t xml:space="preserve">Variance</w:t>
      </w:r>
    </w:p>
    <w:p>
      <w:pPr>
        <w:pStyle w:val="BodyText"/>
      </w:pPr>
      <w:r>
        <w:t xml:space="preserve">Time-to-Fill (Days)</w:t>
      </w:r>
    </w:p>
    <w:p>
      <w:pPr>
        <w:pStyle w:val="BodyText"/>
      </w:pPr>
      <w:r>
        <w:t xml:space="preserve">100</w:t>
      </w:r>
    </w:p>
    <w:p>
      <w:pPr>
        <w:pStyle w:val="BodyText"/>
      </w:pPr>
      <w:r>
        <w:t xml:space="preserve">68</w:t>
      </w:r>
    </w:p>
    <w:p>
      <w:pPr>
        <w:pStyle w:val="BodyText"/>
      </w:pPr>
      <w:r>
        <w:t xml:space="preserve">-32 days (32% improvement)</w:t>
      </w:r>
    </w:p>
    <w:p>
      <w:pPr>
        <w:pStyle w:val="BodyText"/>
      </w:pPr>
      <w:r>
        <w:t xml:space="preserve">Candidate Quality Score (1-5)</w:t>
      </w:r>
    </w:p>
    <w:p>
      <w:pPr>
        <w:pStyle w:val="BodyText"/>
      </w:pPr>
      <w:r>
        <w:t xml:space="preserve">4.2</w:t>
      </w:r>
    </w:p>
    <w:p>
      <w:pPr>
        <w:pStyle w:val="BodyText"/>
      </w:pPr>
      <w:r>
        <w:t xml:space="preserve">4.9+7.1% above target</w:t>
      </w:r>
    </w:p>
    <w:p>
      <w:pPr>
        <w:pStyle w:val="BodyText"/>
      </w:pPr>
      <w:r>
        <w:t xml:space="preserve">Retention Projection (Year 1)</w:t>
      </w:r>
    </w:p>
    <w:p>
      <w:pPr>
        <w:pStyle w:val="BodyText"/>
      </w:pPr>
      <w:r>
        <w:t xml:space="preserve">85%</w:t>
      </w:r>
    </w:p>
    <w:p>
      <w:pPr>
        <w:pStyle w:val="BodyText"/>
      </w:pPr>
      <w:r>
        <w:t xml:space="preserve">97%</w:t>
      </w:r>
    </w:p>
    <w:p>
      <w:pPr>
        <w:pStyle w:val="BodyText"/>
      </w:pPr>
      <w:r>
        <w:t xml:space="preserve">Talent Acquisition Cost (Per Hire)</w:t>
      </w:r>
    </w:p>
    <w:p>
      <w:pPr>
        <w:pStyle w:val="BodyText"/>
      </w:pPr>
      <w:r>
        <w:t xml:space="preserve">$28,000</w:t>
      </w:r>
    </w:p>
    <w:p>
      <w:pPr>
        <w:pStyle w:val="BodyText"/>
      </w:pPr>
      <w:r>
        <w:t xml:space="preserve">$21,450</w:t>
      </w:r>
    </w:p>
    <w:bookmarkStart w:id="23" w:name="key-sales-insights"/>
    <w:p>
      <w:pPr>
        <w:pStyle w:val="Heading3"/>
      </w:pPr>
      <w:r>
        <w:t xml:space="preserve">Key Sales Insights:</w:t>
      </w:r>
    </w:p>
    <w:p>
      <w:pPr>
        <w:numPr>
          <w:ilvl w:val="0"/>
          <w:numId w:val="1002"/>
        </w:numPr>
        <w:pStyle w:val="Compact"/>
      </w:pPr>
      <w:r>
        <w:t xml:space="preserve">Our "value proposition sales pitch" increased candidate conversion rate by 67% compared to standard job postings in Israel Tel Aviv.</w:t>
      </w:r>
    </w:p>
    <w:p>
      <w:pPr>
        <w:numPr>
          <w:ilvl w:val="0"/>
          <w:numId w:val="1002"/>
        </w:numPr>
        <w:pStyle w:val="Compact"/>
      </w:pPr>
      <w:r>
        <w:t xml:space="preserve">Personalized engagement with 82% of leads resulted in a 4.3x higher interview-to-offer ratio versus university average.</w:t>
      </w:r>
    </w:p>
    <w:p>
      <w:pPr>
        <w:numPr>
          <w:ilvl w:val="0"/>
          <w:numId w:val="1002"/>
        </w:numPr>
        <w:pStyle w:val="Compact"/>
      </w:pPr>
      <w:r>
        <w:t xml:space="preserve">Strategic partnership with the Tel Aviv Innovation Authority provided exclusive access to top candidates, directly impacting our sales pipeline quality.</w:t>
      </w:r>
    </w:p>
    <w:bookmarkEnd w:id="23"/>
    <w:bookmarkEnd w:id="24"/>
    <w:bookmarkStart w:id="25" w:name="Xb410ca2e58c5eb67a376c66b6a336f51f03cb47"/>
    <w:p>
      <w:pPr>
        <w:pStyle w:val="Heading2"/>
      </w:pPr>
      <w:r>
        <w:t xml:space="preserve">V. Candidate Success Story: The Dr. Naomi Cohen Acquisition</w:t>
      </w:r>
    </w:p>
    <w:p>
      <w:pPr>
        <w:pStyle w:val="FirstParagraph"/>
      </w:pPr>
      <w:r>
        <w:t xml:space="preserve">Dr. Cohen's journey exemplifies our sales-driven recruitment approach in Israel Tel Aviv:</w:t>
      </w:r>
    </w:p>
    <w:p>
      <w:pPr>
        <w:pStyle w:val="BlockText"/>
      </w:pPr>
      <w:r>
        <w:t xml:space="preserve">"The recruitment team didn't just offer a position – they sold me a career transformation within Tel Aviv's academic-industry nexus. They presented data showing how my AI ethics research would directly impact startups in our neighborhood, and included an exclusive tour of the new TAU Innovation Hub. This wasn't a job application; it was a strategic partnership proposal." - Dr. Naomi Cohen, New University Lecturer (Computer Science)</w:t>
      </w:r>
    </w:p>
    <w:p>
      <w:pPr>
        <w:pStyle w:val="FirstParagraph"/>
      </w:pPr>
      <w:r>
        <w:t xml:space="preserve">Dr. Cohen's background – 8 years at ETH Zurich with industry collaborations at Waze and Check Point – aligns perfectly with our Tel Aviv strategic goals: bridging academic research with Israel's cybersecurity sector. Her appointment directly addresses a critical gap in our curriculum, enhancing student employability metrics by an estimated 35% within the first year.</w:t>
      </w:r>
    </w:p>
    <w:bookmarkEnd w:id="25"/>
    <w:bookmarkStart w:id="26" w:name="vi.-roi-analysis-strategic-implications"/>
    <w:p>
      <w:pPr>
        <w:pStyle w:val="Heading2"/>
      </w:pPr>
      <w:r>
        <w:t xml:space="preserve">VI. ROI Analysis &amp; Strategic Implications</w:t>
      </w:r>
    </w:p>
    <w:p>
      <w:pPr>
        <w:pStyle w:val="FirstParagraph"/>
      </w:pPr>
      <w:r>
        <w:t xml:space="preserve">This University Lecturer acquisition delivers substantial quantifiable returns for Israel Tel Aviv's academic leadership:</w:t>
      </w:r>
    </w:p>
    <w:p>
      <w:pPr>
        <w:numPr>
          <w:ilvl w:val="0"/>
          <w:numId w:val="1003"/>
        </w:numPr>
        <w:pStyle w:val="Compact"/>
      </w:pPr>
      <w:r>
        <w:rPr>
          <w:bCs/>
          <w:b/>
        </w:rPr>
        <w:t xml:space="preserve">Student Enrollment Impact:</w:t>
      </w:r>
      <w:r>
        <w:t xml:space="preserve"> </w:t>
      </w:r>
      <w:r>
        <w:t xml:space="preserve">Projected 18% increase in STEM program applications due to Dr. Cohen's specialized courses, directly contributing to our Tel Aviv campus revenue goals.</w:t>
      </w:r>
    </w:p>
    <w:p>
      <w:pPr>
        <w:numPr>
          <w:ilvl w:val="0"/>
          <w:numId w:val="1003"/>
        </w:numPr>
        <w:pStyle w:val="Compact"/>
      </w:pPr>
      <w:r>
        <w:rPr>
          <w:bCs/>
          <w:b/>
        </w:rPr>
        <w:t xml:space="preserve">Research Funding Acceleration:</w:t>
      </w:r>
      <w:r>
        <w:t xml:space="preserve"> </w:t>
      </w:r>
      <w:r>
        <w:t xml:space="preserve">Her industry partnerships will unlock $1.2M in grant funding through the Israel Innovation Authority, exceeding our annual target by 28%.</w:t>
      </w:r>
    </w:p>
    <w:p>
      <w:pPr>
        <w:numPr>
          <w:ilvl w:val="0"/>
          <w:numId w:val="1003"/>
        </w:numPr>
        <w:pStyle w:val="Compact"/>
      </w:pPr>
      <w:r>
        <w:rPr>
          <w:bCs/>
          <w:b/>
        </w:rPr>
        <w:t xml:space="preserve">Tel Aviv Talent Ecosystem Enhancement:</w:t>
      </w:r>
      <w:r>
        <w:t xml:space="preserve"> </w:t>
      </w:r>
      <w:r>
        <w:t xml:space="preserve">The recruitment process established a new talent acquisition model adopted by 5 other institutions across Israel Tel Aviv, creating a sustainable sales pipeline for future academic roles.</w:t>
      </w:r>
    </w:p>
    <w:p>
      <w:pPr>
        <w:pStyle w:val="FirstParagraph"/>
      </w:pPr>
      <w:r>
        <w:t xml:space="preserve">Crucially, our Sales Report demonstrates that treating faculty recruitment as a high-value sales engagement – rather than administrative task – transforms institutional competitiveness. The 97% retention projection ensures long-term ROI exceeding initial recruitment investment by 380% over three years.</w:t>
      </w:r>
    </w:p>
    <w:bookmarkEnd w:id="26"/>
    <w:bookmarkStart w:id="27" w:name="vii.-conclusion-future-sales-strategy"/>
    <w:p>
      <w:pPr>
        <w:pStyle w:val="Heading2"/>
      </w:pPr>
      <w:r>
        <w:t xml:space="preserve">VII. Conclusion &amp; Future Sales Strategy</w:t>
      </w:r>
    </w:p>
    <w:p>
      <w:pPr>
        <w:pStyle w:val="FirstParagraph"/>
      </w:pPr>
      <w:r>
        <w:t xml:space="preserve">The successful placement of Dr. Naomi Cohen as University Lecturer in Israel Tel Aviv marks a paradigm shift in our talent acquisition approach. This Sales Report confirms that strategic sales methodologies – when applied to academic recruitment – yield superior outcomes in quality, speed, and long-term value within Tel Aviv's dynamic education market. We recommend scaling this model across all senior faculty positions with the following initiatives:</w:t>
      </w:r>
    </w:p>
    <w:p>
      <w:pPr>
        <w:numPr>
          <w:ilvl w:val="0"/>
          <w:numId w:val="1004"/>
        </w:numPr>
        <w:pStyle w:val="Compact"/>
      </w:pPr>
      <w:r>
        <w:t xml:space="preserve">Establish a dedicated Talent Sales Team (TST) for academic recruitment in Tel Aviv</w:t>
      </w:r>
    </w:p>
    <w:p>
      <w:pPr>
        <w:numPr>
          <w:ilvl w:val="0"/>
          <w:numId w:val="1004"/>
        </w:numPr>
        <w:pStyle w:val="Compact"/>
      </w:pPr>
      <w:r>
        <w:t xml:space="preserve">Create a candidate journey map featuring Israel Tel Aviv-specific value propositions</w:t>
      </w:r>
    </w:p>
    <w:p>
      <w:pPr>
        <w:numPr>
          <w:ilvl w:val="0"/>
          <w:numId w:val="1004"/>
        </w:numPr>
        <w:pStyle w:val="Compact"/>
      </w:pPr>
      <w:r>
        <w:t xml:space="preserve">Develop sales metrics tracking student outcomes linked to lecturer performance</w:t>
      </w:r>
    </w:p>
    <w:p>
      <w:pPr>
        <w:pStyle w:val="FirstParagraph"/>
      </w:pPr>
      <w:r>
        <w:t xml:space="preserve">As the economic engine of Israel, Tel Aviv demands institutions that lead through innovation – and our University Lecturer recruitment success exemplifies that leadership. This Sales Report isn't merely about filling a position; it's evidence that strategic talent acquisition is the most powerful sales channel for academic excellence in Israel Tel Aviv. We project this model will generate $2.7M in annualized revenue impact through enhanced student enrollment, research grants, and industry partnerships within the next 36 months.</w:t>
      </w:r>
    </w:p>
    <w:p>
      <w:pPr>
        <w:pStyle w:val="BodyText"/>
      </w:pPr>
      <w:r>
        <w:rPr>
          <w:bCs/>
          <w:b/>
        </w:rPr>
        <w:t xml:space="preserve">Prepared by:</w:t>
      </w:r>
      <w:r>
        <w:t xml:space="preserve"> </w:t>
      </w:r>
      <w:r>
        <w:t xml:space="preserve">Global Talent Acquisition Division</w:t>
      </w:r>
      <w:r>
        <w:br/>
      </w:r>
      <w:r>
        <w:rPr>
          <w:bCs/>
          <w:b/>
        </w:rPr>
        <w:t xml:space="preserve">Institution:</w:t>
      </w:r>
      <w:r>
        <w:t xml:space="preserve"> </w:t>
      </w:r>
      <w:r>
        <w:t xml:space="preserve">Tel Aviv University Innovation Center</w:t>
      </w:r>
      <w:r>
        <w:br/>
      </w:r>
      <w:r>
        <w:rPr>
          <w:bCs/>
          <w:b/>
        </w:rPr>
        <w:t xml:space="preserve">Contact:</w:t>
      </w:r>
      <w:r>
        <w:t xml:space="preserve"> </w:t>
      </w:r>
      <w:r>
        <w:t xml:space="preserve">recruitment@tau.ac.il | +972-3-6401234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Israel Tel Aviv Recruitment Success</dc:title>
  <dc:creator/>
  <dc:language>en</dc:language>
  <cp:keywords/>
  <dcterms:created xsi:type="dcterms:W3CDTF">2026-07-23T22:10:26Z</dcterms:created>
  <dcterms:modified xsi:type="dcterms:W3CDTF">2026-07-23T22:10:26Z</dcterms:modified>
</cp:coreProperties>
</file>

<file path=docProps/custom.xml><?xml version="1.0" encoding="utf-8"?>
<Properties xmlns="http://schemas.openxmlformats.org/officeDocument/2006/custom-properties" xmlns:vt="http://schemas.openxmlformats.org/officeDocument/2006/docPropsVTypes"/>
</file>