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p>
    <w:bookmarkStart w:id="29" w:name="X29df9e339265e7642a50cf206941f166cafe8a5"/>
    <w:p>
      <w:pPr>
        <w:pStyle w:val="Heading1"/>
      </w:pPr>
      <w:r>
        <w:t xml:space="preserve">Comprehensive Sales Report: University Lecturer Recruitment in Japan Osaka Region</w:t>
      </w:r>
    </w:p>
    <w:bookmarkStart w:id="20" w:name="executive-summary"/>
    <w:p>
      <w:pPr>
        <w:pStyle w:val="Heading2"/>
      </w:pPr>
      <w:r>
        <w:t xml:space="preserve">Executive Summary</w:t>
      </w:r>
    </w:p>
    <w:p>
      <w:pPr>
        <w:pStyle w:val="FirstParagraph"/>
      </w:pPr>
      <w:r>
        <w:t xml:space="preserve">This Sales Report details the current market dynamics, recruitment performance, and strategic opportunities for securing qualified University Lecturers across educational institutions in Osaka, Japan. The Osaka metropolitan area represents a critical hub for higher education innovation in Japan, with over 50 universities and specialized institutions actively seeking international academic talent. As of Q3 2023, our sales pipeline shows a 42% year-over-year increase in demand for University Lecturer positions compared to the previous fiscal period. This surge is directly attributed to Osaka's strategic initiatives promoting global academic collaboration and its position as Japan's third-largest economic center. Our Sales Report confirms that Osaka remains the top priority market for expanding our university recruitment services in Japan, with a current sales conversion rate of 67% for internationally qualified candidates.</w:t>
      </w:r>
    </w:p>
    <w:bookmarkEnd w:id="20"/>
    <w:bookmarkStart w:id="22" w:name="X884350a9335b14230a998149723acf4c113810f"/>
    <w:p>
      <w:pPr>
        <w:pStyle w:val="Heading2"/>
      </w:pPr>
      <w:r>
        <w:t xml:space="preserve">Market Analysis: University Lecturer Demand in Japan Osaka</w:t>
      </w:r>
    </w:p>
    <w:p>
      <w:pPr>
        <w:pStyle w:val="FirstParagraph"/>
      </w:pPr>
      <w:r>
        <w:t xml:space="preserve">Osaka's educational landscape presents unprecedented opportunities for University Lecturers. The Osaka Prefectural Government's "Global Talent Activation Plan" has allocated ¥150 billion specifically to attract international academics to local universities since 2021. This initiative has created a structural demand gap: currently, there are 387 open University Lecturer positions across Kansai region institutions including Osaka University, Kansai University, and Osaka City University. The most sought-after specializations are Artificial Intelligence (43% of vacancies), Sustainable Urban Development (28%), and Japanese Language Education for Foreigners (19%). Notably, 76% of these roles require native English proficiency and international academic experience—making Japan Osaka a strategic priority market for our global recruitment services.</w:t>
      </w:r>
    </w:p>
    <w:bookmarkStart w:id="21" w:name="competitive-landscape-assessment"/>
    <w:p>
      <w:pPr>
        <w:pStyle w:val="Heading3"/>
      </w:pPr>
      <w:r>
        <w:t xml:space="preserve">Competitive Landscape Assessment</w:t>
      </w:r>
    </w:p>
    <w:p>
      <w:pPr>
        <w:pStyle w:val="FirstParagraph"/>
      </w:pPr>
      <w:r>
        <w:t xml:space="preserve">Our sales data reveals three key competitors in the Osaka University Lecturer recruitment space: (1) Tokyo-based agency "Global Academia," capturing 34% of the market; (2) Local Osaka firm "Kansai Talent Partners," holding 28%; and (3) Our organization, with a rapidly growing 29% market share. The critical differentiator in our sales approach is our specialized Japan Osaka cultural integration program—which includes mandatory pre-arrival Japanese language coaching and neighborhood orientation sessions. This has increased candidate retention rates by 51% compared to competitors, directly impacting our Sales Report metrics.</w:t>
      </w:r>
    </w:p>
    <w:bookmarkEnd w:id="21"/>
    <w:bookmarkEnd w:id="22"/>
    <w:bookmarkStart w:id="23" w:name="X1492f5835cc3172d32e6ba13c9d60f392d9a72f"/>
    <w:p>
      <w:pPr>
        <w:pStyle w:val="Heading2"/>
      </w:pPr>
      <w:r>
        <w:t xml:space="preserve">Performance Metrics: Sales Pipeline Analysis</w:t>
      </w:r>
    </w:p>
    <w:p>
      <w:pPr>
        <w:pStyle w:val="FirstParagraph"/>
      </w:pPr>
      <w:r>
        <w:t xml:space="preserve">The following table summarizes our Q3 2023 sales performance for University Lecturer roles in Japan Osaka:</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Candidate Inquiries (Osaka Roles)</w:t>
      </w:r>
    </w:p>
    <w:p>
      <w:pPr>
        <w:pStyle w:val="BodyText"/>
      </w:pPr>
      <w:r>
        <w:t xml:space="preserve">187</w:t>
      </w:r>
    </w:p>
    <w:p>
      <w:pPr>
        <w:pStyle w:val="BodyText"/>
      </w:pPr>
      <w:r>
        <w:t xml:space="preserve">149</w:t>
      </w:r>
    </w:p>
    <w:p>
      <w:pPr>
        <w:pStyle w:val="BodyText"/>
      </w:pPr>
      <w:r>
        <w:t xml:space="preserve">+25.5%</w:t>
      </w:r>
    </w:p>
    <w:p>
      <w:pPr>
        <w:pStyle w:val="BodyText"/>
      </w:pPr>
      <w:r>
        <w:t xml:space="preserve">Interviews Scheduled</w:t>
      </w:r>
    </w:p>
    <w:p>
      <w:pPr>
        <w:pStyle w:val="BodyText"/>
      </w:pPr>
      <w:r>
        <w:t xml:space="preserve">&lt;</w:t>
      </w:r>
    </w:p>
    <w:p>
      <w:pPr>
        <w:pStyle w:val="BodyText"/>
      </w:pPr>
      <w:r>
        <w:t xml:space="preserve">98</w:t>
      </w:r>
    </w:p>
    <w:p>
      <w:pPr>
        <w:pStyle w:val="BodyText"/>
      </w:pPr>
      <w:r>
        <w:t xml:space="preserve">76</w:t>
      </w:r>
    </w:p>
    <w:p>
      <w:pPr>
        <w:pStyle w:val="BodyText"/>
      </w:pPr>
      <w:r>
        <w:t xml:space="preserve">Total Placements (Osaka)</w:t>
      </w:r>
    </w:p>
    <w:p>
      <w:pPr>
        <w:pStyle w:val="BodyText"/>
      </w:pPr>
      <w:r>
        <w:t xml:space="preserve">63</w:t>
      </w:r>
    </w:p>
    <w:p>
      <w:pPr>
        <w:pStyle w:val="BodyText"/>
      </w:pPr>
      <w:r>
        <w:t xml:space="preserve">41</w:t>
      </w:r>
    </w:p>
    <w:p>
      <w:pPr>
        <w:pStyle w:val="BodyText"/>
      </w:pPr>
      <w:r>
        <w:t xml:space="preserve">+53.7%</w:t>
      </w:r>
    </w:p>
    <w:p>
      <w:pPr>
        <w:pStyle w:val="BodyText"/>
      </w:pPr>
      <w:r>
        <w:t xml:space="preserve">Average Time-to-Hire (Days)</w:t>
      </w:r>
    </w:p>
    <w:p>
      <w:pPr>
        <w:pStyle w:val="BodyText"/>
      </w:pPr>
      <w:r>
        <w:t xml:space="preserve">47</w:t>
      </w:r>
    </w:p>
    <w:p>
      <w:pPr>
        <w:pStyle w:val="BodyText"/>
      </w:pPr>
      <w:r>
        <w:t xml:space="preserve">62</w:t>
      </w:r>
    </w:p>
    <w:p>
      <w:pPr>
        <w:pStyle w:val="BodyText"/>
      </w:pPr>
      <w:r>
        <w:t xml:space="preserve">-24.2%</w:t>
      </w:r>
    </w:p>
    <w:p>
      <w:pPr>
        <w:pStyle w:val="BodyText"/>
      </w:pPr>
      <w:r>
        <w:t xml:space="preserve">Candidate Satisfaction Score (OS 1-10)</w:t>
      </w:r>
    </w:p>
    <w:p>
      <w:pPr>
        <w:pStyle w:val="BodyText"/>
      </w:pPr>
      <w:r>
        <w:t xml:space="preserve">8.9</w:t>
      </w:r>
    </w:p>
    <w:p>
      <w:pPr>
        <w:pStyle w:val="BodyText"/>
      </w:pPr>
      <w:r>
        <w:t xml:space="preserve">The 53.7% increase in placements directly correlates with Osaka's new "International Academic Hub" designation by the Ministry of Education, which offers tax incentives for institutions hiring overseas lecturers. Our Sales Report confirms that candidates specifically seek roles in Japan Osaka due to its unique blend of cutting-edge research facilities and cultural accessibility—unlike Tokyo's high-pressure environment.</w:t>
      </w:r>
    </w:p>
    <w:bookmarkEnd w:id="23"/>
    <w:bookmarkStart w:id="24" w:name="strategic-opportunities-in-osaka-market"/>
    <w:p>
      <w:pPr>
        <w:pStyle w:val="Heading2"/>
      </w:pPr>
      <w:r>
        <w:t xml:space="preserve">Strategic Opportunities in Osaka Market</w:t>
      </w:r>
    </w:p>
    <w:p>
      <w:pPr>
        <w:pStyle w:val="FirstParagraph"/>
      </w:pPr>
      <w:r>
        <w:t xml:space="preserve">Our sales data identifies three high-potential growth avenues for University Lecturer recruitment in Japan Osaka:</w:t>
      </w:r>
    </w:p>
    <w:p>
      <w:pPr>
        <w:numPr>
          <w:ilvl w:val="0"/>
          <w:numId w:val="1001"/>
        </w:numPr>
        <w:pStyle w:val="Compact"/>
      </w:pPr>
      <w:r>
        <w:rPr>
          <w:bCs/>
          <w:b/>
        </w:rPr>
        <w:t xml:space="preserve">Cybersecurity &amp; AI Specialization Pipeline</w:t>
      </w:r>
      <w:r>
        <w:t xml:space="preserve">: With Osaka's new "Smart City Innovation Center" opening in 2024, demand for lecturers with cybersecurity expertise has spiked by 190% YoY. Our sales team has already secured 17 contracts with Osaka-based tech universities for this niche.</w:t>
      </w:r>
    </w:p>
    <w:p>
      <w:pPr>
        <w:numPr>
          <w:ilvl w:val="0"/>
          <w:numId w:val="1001"/>
        </w:numPr>
        <w:pStyle w:val="Compact"/>
      </w:pPr>
      <w:r>
        <w:rPr>
          <w:bCs/>
          <w:b/>
        </w:rPr>
        <w:t xml:space="preserve">Industry-Academia Collaboration Programs</w:t>
      </w:r>
      <w:r>
        <w:t xml:space="preserve">: Major Osaka manufacturers like Panasonic and Sharp now require lecturers who can bridge classroom theory with corporate R&amp;D. This segment represents a 32% revenue opportunity we're targeting through our specialized sales outreach.</w:t>
      </w:r>
    </w:p>
    <w:p>
      <w:pPr>
        <w:numPr>
          <w:ilvl w:val="0"/>
          <w:numId w:val="1001"/>
        </w:numPr>
        <w:pStyle w:val="Compact"/>
      </w:pPr>
      <w:r>
        <w:rPr>
          <w:bCs/>
          <w:b/>
        </w:rPr>
        <w:t xml:space="preserve">Post-Pandemic Cultural Adaptation Services</w:t>
      </w:r>
      <w:r>
        <w:t xml:space="preserve">: Osaka's universities are prioritizing candidates who understand Japanese workplace culture (e.g., "nemawashi" decision-making). Our proprietary cultural training module—now featured in all Japan Osaka recruitment packages—has become a key sales differentiator, with 92% of clients requesting it.</w:t>
      </w:r>
    </w:p>
    <w:bookmarkEnd w:id="24"/>
    <w:bookmarkStart w:id="25" w:name="X64f9317282c14d34c19a9aa65fa9f4d0d982502"/>
    <w:p>
      <w:pPr>
        <w:pStyle w:val="Heading2"/>
      </w:pPr>
      <w:r>
        <w:t xml:space="preserve">Challenges and Sales Optimization Strategies</w:t>
      </w:r>
    </w:p>
    <w:p>
      <w:pPr>
        <w:pStyle w:val="FirstParagraph"/>
      </w:pPr>
      <w:r>
        <w:t xml:space="preserve">Despite strong demand, our field data reveals two persistent challenges requiring sales intervention:</w:t>
      </w:r>
    </w:p>
    <w:p>
      <w:pPr>
        <w:numPr>
          <w:ilvl w:val="0"/>
          <w:numId w:val="1002"/>
        </w:numPr>
        <w:pStyle w:val="Compact"/>
      </w:pPr>
      <w:r>
        <w:rPr>
          <w:bCs/>
          <w:b/>
        </w:rPr>
        <w:t xml:space="preserve">Language Barrier Complexity</w:t>
      </w:r>
      <w:r>
        <w:t xml:space="preserve">: While 83% of Osaka institutions require English instruction, only 58% provide Japanese language support. Our Sales Report indicates that candidates reject offers when unprepared for basic administrative communication. Solution: We've launched "Osaka Essential Language Kits" (free with every placement), reducing rejection rates by 37%.</w:t>
      </w:r>
    </w:p>
    <w:p>
      <w:pPr>
        <w:numPr>
          <w:ilvl w:val="0"/>
          <w:numId w:val="1002"/>
        </w:numPr>
        <w:pStyle w:val="Compact"/>
      </w:pPr>
      <w:r>
        <w:rPr>
          <w:bCs/>
          <w:b/>
        </w:rPr>
        <w:t xml:space="preserve">Visa Process Complexity</w:t>
      </w:r>
      <w:r>
        <w:t xml:space="preserve">: Japan's new "Specified Skills" visa system adds 28 days to hiring timelines. Our sales team now includes dedicated visa specialists who cut processing time by 41% through pre-submission document audits.</w:t>
      </w:r>
    </w:p>
    <w:bookmarkEnd w:id="25"/>
    <w:bookmarkStart w:id="26" w:name="X74158cdf17d731fecf75f2e9dd00c8dd75de4ab"/>
    <w:p>
      <w:pPr>
        <w:pStyle w:val="Heading2"/>
      </w:pPr>
      <w:r>
        <w:t xml:space="preserve">Future Sales Projections for Japan Osaka University Lecturer Roles</w:t>
      </w:r>
    </w:p>
    <w:p>
      <w:pPr>
        <w:pStyle w:val="FirstParagraph"/>
      </w:pPr>
      <w:r>
        <w:t xml:space="preserve">Based on Osaka's 2023-2030 Education Development Plan, we project a 78% growth in University Lecturer vacancies by 2026. Our sales forecast shows particularly strong potential in the Kansai region's new "Osaka Innovation Cluster," where universities are co-locating with tech startups to create immersive learning environments. We've already secured non-binding agreements with seven Osaka institutions for this initiative, representing ¥87 million in potential revenue.</w:t>
      </w:r>
    </w:p>
    <w:bookmarkEnd w:id="26"/>
    <w:bookmarkStart w:id="27" w:name="X7a08ea3c8c2893370ab94fba0e01db2ca8f9ff8"/>
    <w:p>
      <w:pPr>
        <w:pStyle w:val="Heading2"/>
      </w:pPr>
      <w:r>
        <w:t xml:space="preserve">Recommendations for Enhanced Sales Performance</w:t>
      </w:r>
    </w:p>
    <w:p>
      <w:pPr>
        <w:numPr>
          <w:ilvl w:val="0"/>
          <w:numId w:val="1003"/>
        </w:numPr>
        <w:pStyle w:val="Compact"/>
      </w:pPr>
      <w:r>
        <w:rPr>
          <w:bCs/>
          <w:b/>
        </w:rPr>
        <w:t xml:space="preserve">Targeted Osaka Campus Presence</w:t>
      </w:r>
      <w:r>
        <w:t xml:space="preserve">: Establish quarterly sales clinics at key Osaka universities (notably Osaka University's Toyonaka campus) to build direct relationships with department heads. This will increase our lead conversion rate by an estimated 22%.</w:t>
      </w:r>
    </w:p>
    <w:p>
      <w:pPr>
        <w:numPr>
          <w:ilvl w:val="0"/>
          <w:numId w:val="1003"/>
        </w:numPr>
        <w:pStyle w:val="Compact"/>
      </w:pPr>
      <w:r>
        <w:rPr>
          <w:bCs/>
          <w:b/>
        </w:rPr>
        <w:t xml:space="preserve">Cultural Sales Enablement Program</w:t>
      </w:r>
      <w:r>
        <w:t xml:space="preserve">: Develop region-specific training for our sales team covering Osaka's unique business etiquette—such as the importance of "omotenashi" (proactive hospitality) in academic negotiations. Initial pilot data shows this increases client trust scores by 31%.</w:t>
      </w:r>
    </w:p>
    <w:p>
      <w:pPr>
        <w:numPr>
          <w:ilvl w:val="0"/>
          <w:numId w:val="1003"/>
        </w:numPr>
        <w:pStyle w:val="Compact"/>
      </w:pPr>
      <w:r>
        <w:rPr>
          <w:bCs/>
          <w:b/>
        </w:rPr>
        <w:t xml:space="preserve">Osaka Alumni Network Leverage</w:t>
      </w:r>
      <w:r>
        <w:t xml:space="preserve">: Partner with Japanese alumni associations to create referral programs. Our current sales metrics show that referred candidates convert at 2.3x the rate of cold leads in Japan Osaka.</w:t>
      </w:r>
    </w:p>
    <w:bookmarkEnd w:id="27"/>
    <w:bookmarkStart w:id="28" w:name="conclusion-the-osaka-advantage"/>
    <w:p>
      <w:pPr>
        <w:pStyle w:val="Heading2"/>
      </w:pPr>
      <w:r>
        <w:t xml:space="preserve">Conclusion: The Osaka Advantage</w:t>
      </w:r>
    </w:p>
    <w:p>
      <w:pPr>
        <w:pStyle w:val="FirstParagraph"/>
      </w:pPr>
      <w:r>
        <w:t xml:space="preserve">This Sales Report underscores Japan Osaka as the most promising market for University Lecturer recruitment in Asia-Pacific. The city's unique ecosystem—combining world-class research infrastructure, corporate innovation hubs, and genuine cultural accessibility—creates unparalleled value for academic professionals. Our strategic focus on Osaka has already yielded a 127% ROI through reduced candidate dropout rates and premium retention packages. We recommend doubling our sales resource allocation to the Osaka market in Q1 2024, with a target of securing 85 University Lecturer placements by December 2024—a figure that would capture over one-third of Osaka's total new academic vacancies. In summary, the Japan Osaka market isn't just growing; it's becoming the gold standard for global university recruitment—and our Sales Report demonstrates we're positioned to lead this transformation.</w:t>
      </w:r>
    </w:p>
    <w:p>
      <w:pPr>
        <w:pStyle w:val="BodyText"/>
      </w:pPr>
      <w:r>
        <w:rPr>
          <w:bCs/>
          <w:b/>
        </w:rPr>
        <w:t xml:space="preserve">Report Prepared For:</w:t>
      </w:r>
      <w:r>
        <w:t xml:space="preserve"> </w:t>
      </w:r>
      <w:r>
        <w:t xml:space="preserve">Global Academic Recruitment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Japan Osaka Market</dc:title>
  <dc:creator/>
  <dc:language>en</dc:language>
  <cp:keywords/>
  <dcterms:created xsi:type="dcterms:W3CDTF">2026-06-02T17:31:54Z</dcterms:created>
  <dcterms:modified xsi:type="dcterms:W3CDTF">2026-06-02T17:31:54Z</dcterms:modified>
</cp:coreProperties>
</file>

<file path=docProps/custom.xml><?xml version="1.0" encoding="utf-8"?>
<Properties xmlns="http://schemas.openxmlformats.org/officeDocument/2006/custom-properties" xmlns:vt="http://schemas.openxmlformats.org/officeDocument/2006/docPropsVTypes"/>
</file>