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Japan</w:t>
      </w:r>
      <w:r>
        <w:t xml:space="preserve"> </w:t>
      </w:r>
      <w:r>
        <w:t xml:space="preserve">Tokyo</w:t>
      </w:r>
    </w:p>
    <w:bookmarkStart w:id="27" w:name="X9a3e22231c75b30b5b6467d3e883aacb6c73143"/>
    <w:p>
      <w:pPr>
        <w:pStyle w:val="Heading1"/>
      </w:pPr>
      <w:r>
        <w:t xml:space="preserve">Sales Report: Strategic Recruitment and Market Performance of University Lecturers in Japan Tokyo</w:t>
      </w:r>
    </w:p>
    <w:bookmarkStart w:id="20" w:name="executive-summary"/>
    <w:p>
      <w:pPr>
        <w:pStyle w:val="Heading2"/>
      </w:pPr>
      <w:r>
        <w:t xml:space="preserve">Executive Summary</w:t>
      </w:r>
    </w:p>
    <w:p>
      <w:pPr>
        <w:pStyle w:val="FirstParagraph"/>
      </w:pPr>
      <w:r>
        <w:t xml:space="preserve">This comprehensive Sales Report details the recruitment performance, market dynamics, and strategic initiatives surrounding University Lecturer positions within Tokyo's premier educational institutions. As Japan's academic capital, Tokyo represents a critical market where the demand for high-caliber University Lecturers has surged by 32% year-over-year. This report synthesizes key sales metrics from Q1 to Q3 2024, demonstrating how targeted recruitment strategies have positioned our agency as the leading partner for securing top-tier academic talent across Japan Tokyo's competitive landscape.</w:t>
      </w:r>
    </w:p>
    <w:bookmarkEnd w:id="20"/>
    <w:bookmarkStart w:id="21" w:name="X7a3409d49485263b9011ac178a83b61d61b3710"/>
    <w:p>
      <w:pPr>
        <w:pStyle w:val="Heading2"/>
      </w:pPr>
      <w:r>
        <w:t xml:space="preserve">Market Analysis: Tokyo's University Lecturer Demand</w:t>
      </w:r>
    </w:p>
    <w:p>
      <w:pPr>
        <w:pStyle w:val="FirstParagraph"/>
      </w:pPr>
      <w:r>
        <w:t xml:space="preserve">Japan Tokyo has emerged as the epicenter of Asia's academic innovation, with institutions like University of Tokyo, Waseda, and Keio consistently expanding their global education portfolios. Our Sales Data reveals that 87% of Japan Tokyo universities now prioritize hiring International University Lecturers to enhance cross-cultural curricula. This trend is directly linked to Tokyo's strategic goal as a "Global Education Hub," driving a 40% increase in lecturer recruitment budgets across the metropolitan area. Notably, the sales cycle for University Lecturer placements has shortened by 28 days compared to previous years, reflecting heightened institutional urgency.</w:t>
      </w:r>
    </w:p>
    <w:p>
      <w:pPr>
        <w:pStyle w:val="BodyText"/>
      </w:pPr>
      <w:r>
        <w:t xml:space="preserve">Key demand drivers include:</w:t>
      </w:r>
    </w:p>
    <w:p>
      <w:pPr>
        <w:numPr>
          <w:ilvl w:val="0"/>
          <w:numId w:val="1001"/>
        </w:numPr>
        <w:pStyle w:val="Compact"/>
      </w:pPr>
      <w:r>
        <w:t xml:space="preserve">Expansion of English-taught programs (+55% YoY in Tokyo)</w:t>
      </w:r>
    </w:p>
    <w:p>
      <w:pPr>
        <w:numPr>
          <w:ilvl w:val="0"/>
          <w:numId w:val="1001"/>
        </w:numPr>
        <w:pStyle w:val="Compact"/>
      </w:pPr>
      <w:r>
        <w:t xml:space="preserve">New AI and Sustainability specialization departments at Tokyo universities</w:t>
      </w:r>
    </w:p>
    <w:p>
      <w:pPr>
        <w:numPr>
          <w:ilvl w:val="0"/>
          <w:numId w:val="1001"/>
        </w:numPr>
        <w:pStyle w:val="Compact"/>
      </w:pPr>
      <w:r>
        <w:t xml:space="preserve">Government incentives (e.g., "Global 30" initiative) requiring international faculty</w:t>
      </w:r>
    </w:p>
    <w:bookmarkEnd w:id="21"/>
    <w:bookmarkStart w:id="22" w:name="Xbf5a8499b301f0a4ef8d77b739b633aae40da25"/>
    <w:p>
      <w:pPr>
        <w:pStyle w:val="Heading2"/>
      </w:pPr>
      <w:r>
        <w:t xml:space="preserve">Performance Metrics: Sales Report Highlights</w:t>
      </w:r>
    </w:p>
    <w:p>
      <w:pPr>
        <w:pStyle w:val="FirstParagraph"/>
      </w:pPr>
      <w:r>
        <w:t xml:space="preserve">This quarter's Sales Report underscores exceptional results in University Lecturer recruitment within Japan Tokyo. We achieved a 94% placement success rate across 112 positions, exceeding our target of 85%. The average time-to-fill was reduced to 53 days (vs. industry benchmark of 78 days), directly attributable to our Tokyo-specific talent acquisition framework.</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This Quarter</w:t>
            </w:r>
          </w:p>
        </w:tc>
        <w:tc>
          <w:tcPr/>
          <w:p>
            <w:pPr>
              <w:pStyle w:val="Compact"/>
              <w:jc w:val="left"/>
            </w:pPr>
            <w:r>
              <w:t xml:space="preserve">Previous Quarter</w:t>
            </w:r>
          </w:p>
        </w:tc>
        <w:tc>
          <w:tcPr/>
          <w:p>
            <w:pPr>
              <w:pStyle w:val="Compact"/>
              <w:jc w:val="left"/>
            </w:pPr>
            <w:r>
              <w:t xml:space="preserve">YoY Change</w:t>
            </w:r>
          </w:p>
        </w:tc>
      </w:tr>
      <w:tr>
        <w:tc>
          <w:tcPr/>
          <w:p>
            <w:pPr>
              <w:pStyle w:val="Compact"/>
              <w:jc w:val="left"/>
            </w:pPr>
            <w:r>
              <w:t xml:space="preserve">Lecturer Placements (Tokyo)</w:t>
            </w:r>
          </w:p>
        </w:tc>
        <w:tc>
          <w:tcPr/>
          <w:p>
            <w:pPr>
              <w:pStyle w:val="Compact"/>
              <w:jc w:val="left"/>
            </w:pPr>
            <w:r>
              <w:t xml:space="preserve">112 positions</w:t>
            </w:r>
          </w:p>
        </w:tc>
        <w:tc>
          <w:tcPr/>
          <w:p>
            <w:pPr>
              <w:pStyle w:val="Compact"/>
              <w:jc w:val="left"/>
            </w:pPr>
            <w:r>
              <w:t xml:space="preserve">85 positions</w:t>
            </w:r>
          </w:p>
        </w:tc>
        <w:tc>
          <w:tcPr/>
          <w:p>
            <w:pPr>
              <w:pStyle w:val="Compact"/>
              <w:jc w:val="left"/>
            </w:pPr>
            <w:r>
              <w:t xml:space="preserve">+32%</w:t>
            </w:r>
          </w:p>
        </w:tc>
      </w:tr>
      <w:tr>
        <w:tc>
          <w:tcPr/>
          <w:p>
            <w:pPr>
              <w:pStyle w:val="Compact"/>
              <w:jc w:val="left"/>
            </w:pPr>
            <w:r>
              <w:t xml:space="preserve">Average Salary Offered (USD)</w:t>
            </w:r>
          </w:p>
        </w:tc>
        <w:tc>
          <w:tcPr/>
          <w:p>
            <w:pPr>
              <w:pStyle w:val="Compact"/>
              <w:jc w:val="left"/>
            </w:pPr>
            <w:r>
              <w:t xml:space="preserve">$68,500</w:t>
            </w:r>
          </w:p>
        </w:tc>
        <w:tc>
          <w:tcPr/>
          <w:p>
            <w:pPr>
              <w:pStyle w:val="Compact"/>
              <w:jc w:val="left"/>
            </w:pPr>
            <w:r>
              <w:t xml:space="preserve">$64,200</w:t>
            </w:r>
          </w:p>
        </w:tc>
        <w:tc>
          <w:tcPr/>
          <w:p>
            <w:pPr>
              <w:pStyle w:val="Compact"/>
              <w:jc w:val="left"/>
            </w:pPr>
            <w:r>
              <w:t xml:space="preserve">+6.7%</w:t>
            </w:r>
          </w:p>
        </w:tc>
      </w:tr>
      <w:tr>
        <w:tc>
          <w:tcPr/>
          <w:p>
            <w:pPr>
              <w:pStyle w:val="Compact"/>
              <w:jc w:val="left"/>
            </w:pPr>
            <w:r>
              <w:t xml:space="preserve">Candidate Satisfaction Rate (University Lecturer Role)</w:t>
            </w:r>
          </w:p>
        </w:tc>
        <w:tc>
          <w:tcPr/>
          <w:p>
            <w:pPr>
              <w:pStyle w:val="Compact"/>
            </w:pPr>
          </w:p>
        </w:tc>
        <w:tc>
          <w:tcPr/>
          <w:p>
            <w:pPr>
              <w:pStyle w:val="Compact"/>
            </w:pPr>
          </w:p>
        </w:tc>
        <w:tc>
          <w:tcPr/>
          <w:p>
            <w:pPr>
              <w:pStyle w:val="Compact"/>
            </w:pPr>
          </w:p>
        </w:tc>
      </w:tr>
      <w:tr>
        <w:tc>
          <w:tcPr/>
          <w:p>
            <w:pPr>
              <w:pStyle w:val="Compact"/>
              <w:jc w:val="left"/>
            </w:pPr>
            <w:r>
              <w:t xml:space="preserve">91% (vs. Tokyo industry avg: 78%)</w:t>
            </w:r>
          </w:p>
        </w:tc>
        <w:tc>
          <w:tcPr/>
          <w:p>
            <w:pPr>
              <w:pStyle w:val="Compact"/>
            </w:pPr>
          </w:p>
        </w:tc>
        <w:tc>
          <w:tcPr/>
          <w:p>
            <w:pPr>
              <w:pStyle w:val="Compact"/>
            </w:pPr>
          </w:p>
        </w:tc>
        <w:tc>
          <w:tcPr/>
          <w:p>
            <w:pPr>
              <w:pStyle w:val="Compact"/>
            </w:pPr>
          </w:p>
        </w:tc>
      </w:tr>
    </w:tbl>
    <w:p>
      <w:pPr>
        <w:pStyle w:val="BodyText"/>
      </w:pPr>
      <w:r>
        <w:t xml:space="preserve">Notably, 63% of placements were in STEM fields – a direct response to Tokyo's "Innovation Strategy 2030" prioritizing technology education. Our Sales Team attributes this success to hyper-localized market intelligence, including partnerships with Tokyo Metropolitan Government's Education Bureau and attendance at the annual Japan University Career Fair (held in Shibuya).</w:t>
      </w:r>
    </w:p>
    <w:bookmarkEnd w:id="22"/>
    <w:bookmarkStart w:id="23" w:name="X78a0502a27632b965118414f17a2c68f0e8a5f3"/>
    <w:p>
      <w:pPr>
        <w:pStyle w:val="Heading2"/>
      </w:pPr>
      <w:r>
        <w:t xml:space="preserve">Challenges in Japan Tokyo's Academic Sales Landscape</w:t>
      </w:r>
    </w:p>
    <w:p>
      <w:pPr>
        <w:pStyle w:val="FirstParagraph"/>
      </w:pPr>
      <w:r>
        <w:t xml:space="preserve">Despite strong performance, our Sales Report identifies critical challenges unique to recruiting University Lecturers in Japan Tokyo. Cultural integration remains paramount: 24% of candidates cited "work-life balance" concerns (uncommon in Western academic settings) as a primary factor in relocation decisions. Additionally, Tokyo's stringent visa processes create a 30-day administrative bottleneck that impacts sales velocity.</w:t>
      </w:r>
    </w:p>
    <w:p>
      <w:pPr>
        <w:pStyle w:val="BodyText"/>
      </w:pPr>
      <w:r>
        <w:t xml:space="preserve">Language barriers also affect our sales conversion. While 89% of Tokyo universities require Japanese proficiency for non-STEM roles, only 57% of international candidates meet JLPT N2 standards. Our Sales Department has countered this by launching a "Tokyo Academic Language Accelerator" program – reducing onboarding time by 18 days and increasing candidate retention by 33%.</w:t>
      </w:r>
    </w:p>
    <w:bookmarkEnd w:id="23"/>
    <w:bookmarkStart w:id="24" w:name="Xa7d4b80c7bdd58a893ef01be472de30e50c584f"/>
    <w:p>
      <w:pPr>
        <w:pStyle w:val="Heading2"/>
      </w:pPr>
      <w:r>
        <w:t xml:space="preserve">Strategic Initiatives Driving Sales Success</w:t>
      </w:r>
    </w:p>
    <w:p>
      <w:pPr>
        <w:pStyle w:val="FirstParagraph"/>
      </w:pPr>
      <w:r>
        <w:t xml:space="preserve">To overcome these challenges, our Tokyo-specific sales strategy focuses on three pillars:</w:t>
      </w:r>
    </w:p>
    <w:p>
      <w:pPr>
        <w:numPr>
          <w:ilvl w:val="0"/>
          <w:numId w:val="1002"/>
        </w:numPr>
        <w:pStyle w:val="Compact"/>
      </w:pPr>
      <w:r>
        <w:rPr>
          <w:bCs/>
          <w:b/>
        </w:rPr>
        <w:t xml:space="preserve">Cultural Sales Mapping:</w:t>
      </w:r>
      <w:r>
        <w:t xml:space="preserve"> </w:t>
      </w:r>
      <w:r>
        <w:t xml:space="preserve">We developed a Tokyo University Culture Index scoring system that evaluates institutional compatibility (e.g., "Waseda's collaborative environment" vs. "University of Tokyo's research-first culture"). This reduced misalignment-related cancellations by 41%.</w:t>
      </w:r>
    </w:p>
    <w:p>
      <w:pPr>
        <w:numPr>
          <w:ilvl w:val="0"/>
          <w:numId w:val="1002"/>
        </w:numPr>
        <w:pStyle w:val="Compact"/>
      </w:pPr>
      <w:r>
        <w:rPr>
          <w:bCs/>
          <w:b/>
        </w:rPr>
        <w:t xml:space="preserve">Hyper-Local Employer Branding:</w:t>
      </w:r>
      <w:r>
        <w:t xml:space="preserve"> </w:t>
      </w:r>
      <w:r>
        <w:t xml:space="preserve">Created a dedicated Japan Tokyo recruitment portal featuring virtual campus tours of Nakano and Meguro campuses, showcasing real University Lecturer daily routines. This increased application quality by 67%.</w:t>
      </w:r>
    </w:p>
    <w:p>
      <w:pPr>
        <w:numPr>
          <w:ilvl w:val="0"/>
          <w:numId w:val="1002"/>
        </w:numPr>
        <w:pStyle w:val="Compact"/>
      </w:pPr>
      <w:r>
        <w:rPr>
          <w:bCs/>
          <w:b/>
        </w:rPr>
        <w:t xml:space="preserve">Sales-Product Integration:</w:t>
      </w:r>
      <w:r>
        <w:t xml:space="preserve"> </w:t>
      </w:r>
      <w:r>
        <w:t xml:space="preserve">Partnered with Tokyo-based relocation specialists (e.g., Japan Housing Agency) to offer "Lecturer Relocation Packages," including temporary housing and cultural immersion workshops. Sales data confirms these packages increase contract acceptance rates by 52%.</w:t>
      </w:r>
    </w:p>
    <w:bookmarkEnd w:id="24"/>
    <w:bookmarkStart w:id="25" w:name="X43339bf9db7aadc8ab306e9b0178b7c1c214370"/>
    <w:p>
      <w:pPr>
        <w:pStyle w:val="Heading2"/>
      </w:pPr>
      <w:r>
        <w:t xml:space="preserve">Future Outlook: University Lecturer Market in Tokyo</w:t>
      </w:r>
    </w:p>
    <w:p>
      <w:pPr>
        <w:pStyle w:val="FirstParagraph"/>
      </w:pPr>
      <w:r>
        <w:t xml:space="preserve">Predictive analytics from our Sales Report indicate Tokyo's demand for University Lecturers will grow to 1,400+ positions by Q4 2025. Key growth areas include:</w:t>
      </w:r>
    </w:p>
    <w:p>
      <w:pPr>
        <w:numPr>
          <w:ilvl w:val="0"/>
          <w:numId w:val="1003"/>
        </w:numPr>
        <w:pStyle w:val="Compact"/>
      </w:pPr>
      <w:r>
        <w:t xml:space="preserve">AI Ethics (37% projected increase at Tokyo Institute of Technology)</w:t>
      </w:r>
    </w:p>
    <w:p>
      <w:pPr>
        <w:numPr>
          <w:ilvl w:val="0"/>
          <w:numId w:val="1003"/>
        </w:numPr>
        <w:pStyle w:val="Compact"/>
      </w:pPr>
      <w:r>
        <w:t xml:space="preserve">Sustainable Business Programs (Keio University's new initiative)</w:t>
      </w:r>
    </w:p>
    <w:p>
      <w:pPr>
        <w:numPr>
          <w:ilvl w:val="0"/>
          <w:numId w:val="1003"/>
        </w:numPr>
        <w:pStyle w:val="Compact"/>
      </w:pPr>
      <w:r>
        <w:t xml:space="preserve">Japanese Language for Global Business (Tokyo University's "Global Corporate Program")</w:t>
      </w:r>
    </w:p>
    <w:p>
      <w:pPr>
        <w:pStyle w:val="FirstParagraph"/>
      </w:pPr>
      <w:r>
        <w:t xml:space="preserve">Our Sales Strategy for 2025 targets a 45% market share of Tokyo-based lecturer placements through three initiatives:</w:t>
      </w:r>
    </w:p>
    <w:p>
      <w:pPr>
        <w:numPr>
          <w:ilvl w:val="0"/>
          <w:numId w:val="1004"/>
        </w:numPr>
        <w:pStyle w:val="Compact"/>
      </w:pPr>
      <w:r>
        <w:t xml:space="preserve">Leveraging Tokyo's new "Academic Talent Visa" (launched March 2024)</w:t>
      </w:r>
    </w:p>
    <w:p>
      <w:pPr>
        <w:numPr>
          <w:ilvl w:val="0"/>
          <w:numId w:val="1004"/>
        </w:numPr>
        <w:pStyle w:val="Compact"/>
      </w:pPr>
      <w:r>
        <w:t xml:space="preserve">Developing AI-driven candidate matching for Japan Tokyo institutions</w:t>
      </w:r>
    </w:p>
    <w:p>
      <w:pPr>
        <w:numPr>
          <w:ilvl w:val="0"/>
          <w:numId w:val="1004"/>
        </w:numPr>
        <w:pStyle w:val="Compact"/>
      </w:pPr>
      <w:r>
        <w:t xml:space="preserve">Creating a University Lecturer Alumni Network to facilitate referrals within Tokyo's academic ecosystem</w:t>
      </w:r>
    </w:p>
    <w:bookmarkEnd w:id="25"/>
    <w:bookmarkStart w:id="26" w:name="Xba72cb6589f1dfb64d56938adbd8a2a2f517f5c"/>
    <w:p>
      <w:pPr>
        <w:pStyle w:val="Heading2"/>
      </w:pPr>
      <w:r>
        <w:t xml:space="preserve">Conclusion: The Sales Imperative in Japan Tokyo Education</w:t>
      </w:r>
    </w:p>
    <w:p>
      <w:pPr>
        <w:pStyle w:val="FirstParagraph"/>
      </w:pPr>
      <w:r>
        <w:t xml:space="preserve">This Sales Report confirms that University Lecturer recruitment in Japan Tokyo is no longer merely about filling positions – it's a strategic sales engagement defining educational competitiveness. With Tokyo universities now viewing faculty acquisition as a core revenue driver (e.g., international student fees contributing 31% of institutional budgets), the sales approach must evolve beyond traditional recruitment.</w:t>
      </w:r>
    </w:p>
    <w:p>
      <w:pPr>
        <w:pStyle w:val="BodyText"/>
      </w:pPr>
      <w:r>
        <w:t xml:space="preserve">Our data shows that institutions prioritizing seamless University Lecturer integration achieve 27% higher student satisfaction scores – directly impacting Tokyo's academic reputation and subsequent enrollment growth. As Japan's education sector undergoes its most dynamic transformation since the Meiji era, our Sales Report positions Tokyo as the catalyst for global academic excellence. The message is clear: In Japan Tokyo, where every University Lecturer placement drives institutional advancement, sales excellence isn't just profitable – it's foundational to educational progress.</w:t>
      </w:r>
    </w:p>
    <w:p>
      <w:pPr>
        <w:pStyle w:val="BodyText"/>
      </w:pPr>
      <w:r>
        <w:rPr>
          <w:bCs/>
          <w:b/>
        </w:rPr>
        <w:t xml:space="preserve">Prepared by:</w:t>
      </w:r>
      <w:r>
        <w:t xml:space="preserve"> </w:t>
      </w:r>
      <w:r>
        <w:t xml:space="preserve">Global Academic Talent Solutions</w:t>
      </w:r>
      <w:r>
        <w:br/>
      </w:r>
      <w:r>
        <w:rPr>
          <w:bCs/>
          <w:b/>
        </w:rPr>
        <w:t xml:space="preserve">Date:</w:t>
      </w:r>
      <w:r>
        <w:t xml:space="preserve"> </w:t>
      </w:r>
      <w:r>
        <w:t xml:space="preserve">October 26, 2024</w:t>
      </w:r>
      <w:r>
        <w:br/>
      </w:r>
      <w:r>
        <w:rPr>
          <w:bCs/>
          <w:b/>
        </w:rPr>
        <w:t xml:space="preserve">Report Scope:</w:t>
      </w:r>
      <w:r>
        <w:t xml:space="preserve"> </w:t>
      </w:r>
      <w:r>
        <w:t xml:space="preserve">Japan Tokyo University Lecturer Market (Q1-Q3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in Japan Tokyo</dc:title>
  <dc:creator/>
  <dc:language>en</dc:language>
  <cp:keywords/>
  <dcterms:created xsi:type="dcterms:W3CDTF">2026-07-23T20:12:34Z</dcterms:created>
  <dcterms:modified xsi:type="dcterms:W3CDTF">2026-07-23T20:12:34Z</dcterms:modified>
</cp:coreProperties>
</file>

<file path=docProps/custom.xml><?xml version="1.0" encoding="utf-8"?>
<Properties xmlns="http://schemas.openxmlformats.org/officeDocument/2006/custom-properties" xmlns:vt="http://schemas.openxmlformats.org/officeDocument/2006/docPropsVTypes"/>
</file>