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28" w:name="X5c56eb248afe297423a240cfd50dcb72be44a81"/>
    <w:p>
      <w:pPr>
        <w:pStyle w:val="Heading1"/>
      </w:pPr>
      <w:r>
        <w:t xml:space="preserve">Sales Report: Strategic Recruitment of University Lecturer for Leading Institution in Kazakhstan Almaty</w:t>
      </w:r>
    </w:p>
    <w:bookmarkStart w:id="20" w:name="executive-summary"/>
    <w:p>
      <w:pPr>
        <w:pStyle w:val="Heading2"/>
      </w:pPr>
      <w:r>
        <w:t xml:space="preserve">Executive Summary</w:t>
      </w:r>
    </w:p>
    <w:p>
      <w:pPr>
        <w:pStyle w:val="FirstParagraph"/>
      </w:pPr>
      <w:r>
        <w:t xml:space="preserve">This comprehensive Sales Report details the successful recruitment and onboarding process for a distinguished University Lecturer position at the prestigious Almaty International University (AIU) in Kazakhstan. As part of our strategic expansion into Central Asia's education market, this report outlines how our tailored sales approach directly addressed institutional needs while leveraging Kazakhstan Almaty's unique academic landscape. The successful placement represents a significant milestone in our regional growth strategy, generating immediate revenue and positioning us as the preferred recruitment partner for Kazakh higher education institutions.</w:t>
      </w:r>
    </w:p>
    <w:bookmarkEnd w:id="20"/>
    <w:bookmarkStart w:id="21" w:name="X0f69e1b9d4f567cce7a7e49953cd4de7a154a89"/>
    <w:p>
      <w:pPr>
        <w:pStyle w:val="Heading2"/>
      </w:pPr>
      <w:r>
        <w:t xml:space="preserve">Market Context: University Lecturer Demand in Kazakhstan Almaty</w:t>
      </w:r>
    </w:p>
    <w:p>
      <w:pPr>
        <w:pStyle w:val="FirstParagraph"/>
      </w:pPr>
      <w:r>
        <w:t xml:space="preserve">The educational sector in Kazakhstan Almaty has experienced unprecedented growth following the government's "National Strategy 2050" initiative, which prioritizes higher education modernization. With Almaty serving as the country's academic capital housing 47% of Kazakhstan's universities, demand for specialized University Lecturers has surged by 32% year-on-year (Kazakhstan Ministry of Education, Q1 2023). This growth is driven by three critical factors:</w:t>
      </w:r>
    </w:p>
    <w:p>
      <w:pPr>
        <w:numPr>
          <w:ilvl w:val="0"/>
          <w:numId w:val="1001"/>
        </w:numPr>
        <w:pStyle w:val="Compact"/>
      </w:pPr>
      <w:r>
        <w:rPr>
          <w:bCs/>
          <w:b/>
        </w:rPr>
        <w:t xml:space="preserve">Internationalization Efforts:</w:t>
      </w:r>
      <w:r>
        <w:t xml:space="preserve"> </w:t>
      </w:r>
      <w:r>
        <w:t xml:space="preserve">AIU's new dual-degree programs with European institutions requiring English-fluent lecturers</w:t>
      </w:r>
    </w:p>
    <w:p>
      <w:pPr>
        <w:numPr>
          <w:ilvl w:val="0"/>
          <w:numId w:val="1001"/>
        </w:numPr>
        <w:pStyle w:val="Compact"/>
      </w:pPr>
      <w:r>
        <w:rPr>
          <w:bCs/>
          <w:b/>
        </w:rPr>
        <w:t xml:space="preserve">STEM Expansion:</w:t>
      </w:r>
      <w:r>
        <w:t xml:space="preserve"> </w:t>
      </w:r>
      <w:r>
        <w:t xml:space="preserve">Government mandate to increase engineering and technology programs by 25%</w:t>
      </w:r>
    </w:p>
    <w:p>
      <w:pPr>
        <w:numPr>
          <w:ilvl w:val="0"/>
          <w:numId w:val="1001"/>
        </w:numPr>
        <w:pStyle w:val="Compact"/>
      </w:pPr>
      <w:r>
        <w:rPr>
          <w:bCs/>
          <w:b/>
        </w:rPr>
        <w:t xml:space="preserve">Aging Faculty:</w:t>
      </w:r>
      <w:r>
        <w:t xml:space="preserve"> </w:t>
      </w:r>
      <w:r>
        <w:t xml:space="preserve">48% of current Almaty university lecturers are over 50, creating urgent replacement needs</w:t>
      </w:r>
    </w:p>
    <w:p>
      <w:pPr>
        <w:pStyle w:val="FirstParagraph"/>
      </w:pPr>
      <w:r>
        <w:t xml:space="preserve">Our Sales Report identifies this market gap as our prime opportunity, with Almaty representing a $12.7M annual recruitment market for academic staff across its top 10 universities.</w:t>
      </w:r>
    </w:p>
    <w:bookmarkEnd w:id="21"/>
    <w:bookmarkStart w:id="22" w:name="Xf4c50a0b381ac1cda8be244baf25a3030be0001"/>
    <w:p>
      <w:pPr>
        <w:pStyle w:val="Heading2"/>
      </w:pPr>
      <w:r>
        <w:t xml:space="preserve">Sales Strategy: Customized Approach for University Lecturer Placement</w:t>
      </w:r>
    </w:p>
    <w:p>
      <w:pPr>
        <w:pStyle w:val="FirstParagraph"/>
      </w:pPr>
      <w:r>
        <w:t xml:space="preserve">Traditional recruitment approaches failed to meet Almaty's unique requirements, prompting our innovative sales methodology. We developed the "Kazakhstan Academic Match Framework" (KAMF), which integrates three critical components:</w:t>
      </w:r>
    </w:p>
    <w:p>
      <w:pPr>
        <w:numPr>
          <w:ilvl w:val="0"/>
          <w:numId w:val="1002"/>
        </w:numPr>
        <w:pStyle w:val="Compact"/>
      </w:pPr>
      <w:r>
        <w:rPr>
          <w:bCs/>
          <w:b/>
        </w:rPr>
        <w:t xml:space="preserve">Cultural Intelligence Module:</w:t>
      </w:r>
      <w:r>
        <w:t xml:space="preserve"> </w:t>
      </w:r>
      <w:r>
        <w:t xml:space="preserve">Training sales team on Kazakh academic hierarchy and communication norms</w:t>
      </w:r>
    </w:p>
    <w:p>
      <w:pPr>
        <w:numPr>
          <w:ilvl w:val="0"/>
          <w:numId w:val="1002"/>
        </w:numPr>
        <w:pStyle w:val="Compact"/>
      </w:pPr>
      <w:r>
        <w:rPr>
          <w:bCs/>
          <w:b/>
        </w:rPr>
        <w:t xml:space="preserve">Regional Compensation Benchmarking:</w:t>
      </w:r>
      <w:r>
        <w:t xml:space="preserve"> </w:t>
      </w:r>
      <w:r>
        <w:t xml:space="preserve">Creating salary bands aligned with Almaty's cost-of-living index (23% below Western Europe but 15% above national average)</w:t>
      </w:r>
    </w:p>
    <w:p>
      <w:pPr>
        <w:numPr>
          <w:ilvl w:val="0"/>
          <w:numId w:val="1002"/>
        </w:numPr>
        <w:pStyle w:val="Compact"/>
      </w:pPr>
      <w:r>
        <w:rPr>
          <w:bCs/>
          <w:b/>
        </w:rPr>
        <w:t xml:space="preserve">Language Integration Protocol:</w:t>
      </w:r>
      <w:r>
        <w:t xml:space="preserve"> </w:t>
      </w:r>
      <w:r>
        <w:t xml:space="preserve">Ensuring all candidates demonstrate Kazakh language proficiency (Level B1) per new regulatory requirements</w:t>
      </w:r>
    </w:p>
    <w:p>
      <w:pPr>
        <w:pStyle w:val="FirstParagraph"/>
      </w:pPr>
      <w:r>
        <w:t xml:space="preserve">This strategy directly addressed the core challenge identified in our pre-sales research: 68% of international lecturer applications failed due to inadequate cultural adaptation. Our Sales Report confirms this customized approach reduced candidate rejection rates by 41% compared to industry standards.</w:t>
      </w:r>
    </w:p>
    <w:bookmarkEnd w:id="22"/>
    <w:bookmarkStart w:id="23" w:name="X02c2c7542431b53b8c3fc9fe58870ce7d45da78"/>
    <w:p>
      <w:pPr>
        <w:pStyle w:val="Heading2"/>
      </w:pPr>
      <w:r>
        <w:t xml:space="preserve">Case Study: Successful University Lecturer Placement at AIU</w:t>
      </w:r>
    </w:p>
    <w:p>
      <w:pPr>
        <w:pStyle w:val="FirstParagraph"/>
      </w:pPr>
      <w:r>
        <w:t xml:space="preserve">The cornerstone achievement documented in our Sales Report is the placement of Dr. Elena Kuznetsova, a quantum physics specialist from Moscow State University, as Lead University Lecturer in AIU's new Institute of Advanced Materials. Key sales metrics demonstrating success:</w:t>
      </w:r>
    </w:p>
    <w:p>
      <w:pPr>
        <w:pStyle w:val="BodyText"/>
      </w:pPr>
      <w:r>
        <w:t xml:space="preserve">Parameter</w:t>
      </w:r>
    </w:p>
    <w:p>
      <w:pPr>
        <w:pStyle w:val="BodyText"/>
      </w:pPr>
      <w:r>
        <w:t xml:space="preserve">Industry Average</w:t>
      </w:r>
    </w:p>
    <w:p>
      <w:pPr>
        <w:pStyle w:val="BodyText"/>
      </w:pPr>
      <w:r>
        <w:t xml:space="preserve">Our Result (Kazakhstan Almaty)</w:t>
      </w:r>
    </w:p>
    <w:p>
      <w:pPr>
        <w:pStyle w:val="BodyText"/>
      </w:pPr>
      <w:r>
        <w:t xml:space="preserve">Hiring Timeline</w:t>
      </w:r>
    </w:p>
    <w:p>
      <w:pPr>
        <w:pStyle w:val="BodyText"/>
      </w:pPr>
      <w:r>
        <w:t xml:space="preserve">12-16 weeks</w:t>
      </w:r>
    </w:p>
    <w:p>
      <w:pPr>
        <w:pStyle w:val="BodyText"/>
      </w:pPr>
      <w:r>
        <w:t xml:space="preserve">8 weeks (35% faster)</w:t>
      </w:r>
    </w:p>
    <w:p>
      <w:pPr>
        <w:pStyle w:val="BodyText"/>
      </w:pPr>
      <w:r>
        <w:t xml:space="preserve">Candidate Retention Rate (Year 1)</w:t>
      </w:r>
    </w:p>
    <w:p>
      <w:pPr>
        <w:pStyle w:val="BodyText"/>
      </w:pPr>
      <w:r>
        <w:t xml:space="preserve">62%</w:t>
      </w:r>
    </w:p>
    <w:p>
      <w:pPr>
        <w:pStyle w:val="BodyText"/>
      </w:pPr>
      <w:r>
        <w:t xml:space="preserve">&lt;</w:t>
      </w:r>
    </w:p>
    <w:p>
      <w:pPr>
        <w:pStyle w:val="BodyText"/>
      </w:pPr>
      <w:r>
        <w:t xml:space="preserve">94%</w:t>
      </w:r>
    </w:p>
    <w:p>
      <w:pPr>
        <w:pStyle w:val="BodyText"/>
      </w:pPr>
      <w:r>
        <w:t xml:space="preserve">Institution Satisfaction Score</w:t>
      </w:r>
    </w:p>
    <w:p>
      <w:pPr>
        <w:pStyle w:val="BodyText"/>
      </w:pPr>
      <w:r>
        <w:t xml:space="preserve">&lt;</w:t>
      </w:r>
    </w:p>
    <w:p>
      <w:pPr>
        <w:pStyle w:val="BodyText"/>
      </w:pPr>
      <w:r>
        <w:t xml:space="preserve">3.7/5</w:t>
      </w:r>
    </w:p>
    <w:p>
      <w:pPr>
        <w:pStyle w:val="BodyText"/>
      </w:pPr>
      <w:r>
        <w:t xml:space="preserve">&lt;</w:t>
      </w:r>
    </w:p>
    <w:p>
      <w:pPr>
        <w:pStyle w:val="BodyText"/>
      </w:pPr>
      <w:r>
        <w:t xml:space="preserve">4.9/5</w:t>
      </w:r>
    </w:p>
    <w:p>
      <w:pPr>
        <w:pStyle w:val="BodyText"/>
      </w:pPr>
      <w:r>
        <w:t xml:space="preserve">Total Sales Value</w:t>
      </w:r>
    </w:p>
    <w:p>
      <w:pPr>
        <w:pStyle w:val="BodyText"/>
      </w:pPr>
      <w:r>
        <w:t xml:space="preserve">$18,500 (base salary + bonus)</w:t>
      </w:r>
    </w:p>
    <w:p>
      <w:pPr>
        <w:pStyle w:val="BodyText"/>
      </w:pPr>
      <w:r>
        <w:t xml:space="preserve">Dr. Kuznetsova's placement was particularly strategic: She possesses dual expertise in her field and Kazakh language fluency – a rarity in the Kazakhstan Almaty academic market. Her recruitment directly supports AIU's new "Bilingual Research Initiative," attracting €2.3M in EU research funding since July 2023.</w:t>
      </w:r>
    </w:p>
    <w:bookmarkEnd w:id="23"/>
    <w:bookmarkStart w:id="24" w:name="revenue-impact-analysis"/>
    <w:p>
      <w:pPr>
        <w:pStyle w:val="Heading2"/>
      </w:pPr>
      <w:r>
        <w:t xml:space="preserve">Revenue Impact Analysis</w:t>
      </w:r>
    </w:p>
    <w:p>
      <w:pPr>
        <w:pStyle w:val="FirstParagraph"/>
      </w:pPr>
      <w:r>
        <w:t xml:space="preserve">Our Sales Report quantifies the financial impact of this University Lecturer placement within Kazakhstan Almaty's context:</w:t>
      </w:r>
    </w:p>
    <w:p>
      <w:pPr>
        <w:numPr>
          <w:ilvl w:val="0"/>
          <w:numId w:val="1003"/>
        </w:numPr>
        <w:pStyle w:val="Compact"/>
      </w:pPr>
      <w:r>
        <w:rPr>
          <w:bCs/>
          <w:b/>
        </w:rPr>
        <w:t xml:space="preserve">Direct Revenue:</w:t>
      </w:r>
      <w:r>
        <w:t xml:space="preserve"> </w:t>
      </w:r>
      <w:r>
        <w:t xml:space="preserve">$18,500 (recruitment fee) + $4,200 annual management fee = $22,700 in Year 1</w:t>
      </w:r>
    </w:p>
    <w:p>
      <w:pPr>
        <w:numPr>
          <w:ilvl w:val="0"/>
          <w:numId w:val="1003"/>
        </w:numPr>
        <w:pStyle w:val="Compact"/>
      </w:pPr>
      <w:r>
        <w:rPr>
          <w:bCs/>
          <w:b/>
        </w:rPr>
        <w:t xml:space="preserve">Upsell Opportunity:</w:t>
      </w:r>
      <w:r>
        <w:t xml:space="preserve"> </w:t>
      </w:r>
      <w:r>
        <w:t xml:space="preserve">AIU contracted our team for three additional faculty placements in Q3 2023 ($68,100 value)</w:t>
      </w:r>
    </w:p>
    <w:p>
      <w:pPr>
        <w:numPr>
          <w:ilvl w:val="0"/>
          <w:numId w:val="1003"/>
        </w:numPr>
        <w:pStyle w:val="Compact"/>
      </w:pPr>
      <w:r>
        <w:rPr>
          <w:bCs/>
          <w:b/>
        </w:rPr>
        <w:t xml:space="preserve">Referral Value:</w:t>
      </w:r>
      <w:r>
        <w:t xml:space="preserve"> </w:t>
      </w:r>
      <w:r>
        <w:t xml:space="preserve">AIU's Vice-Rector publicly endorsed our service at the Almaty University Consortium meeting, generating 5 qualified leads</w:t>
      </w:r>
    </w:p>
    <w:p>
      <w:pPr>
        <w:numPr>
          <w:ilvl w:val="0"/>
          <w:numId w:val="1003"/>
        </w:numPr>
        <w:pStyle w:val="Compact"/>
      </w:pPr>
      <w:r>
        <w:rPr>
          <w:bCs/>
          <w:b/>
        </w:rPr>
        <w:t xml:space="preserve">Lifetime Value (LTV) Projection:</w:t>
      </w:r>
      <w:r>
        <w:t xml:space="preserve"> </w:t>
      </w:r>
      <w:r>
        <w:t xml:space="preserve">$38,400 per lecturer over 3-year retention period – exceeding our Kazakh market LTV average by 29%</w:t>
      </w:r>
    </w:p>
    <w:p>
      <w:pPr>
        <w:pStyle w:val="FirstParagraph"/>
      </w:pPr>
      <w:r>
        <w:t xml:space="preserve">Crucially, the placement generated revenue within Kazakhstan Almaty's competitive academic recruitment landscape where competitors typically achieve only $15,800 LTV per lecturer. Our sales strategy directly created a 47% premium positioning in the Almaty market.</w:t>
      </w:r>
    </w:p>
    <w:bookmarkEnd w:id="24"/>
    <w:bookmarkStart w:id="25" w:name="Xfa5decb1622bbca6098591a5045f792ae3f715b"/>
    <w:p>
      <w:pPr>
        <w:pStyle w:val="Heading2"/>
      </w:pPr>
      <w:r>
        <w:t xml:space="preserve">Competitive Differentiation in Kazakhstan Almaty Market</w:t>
      </w:r>
    </w:p>
    <w:p>
      <w:pPr>
        <w:pStyle w:val="FirstParagraph"/>
      </w:pPr>
      <w:r>
        <w:t xml:space="preserve">Our Sales Report identifies three key differentiators that secured this University Lecturer placement:</w:t>
      </w:r>
    </w:p>
    <w:p>
      <w:pPr>
        <w:numPr>
          <w:ilvl w:val="0"/>
          <w:numId w:val="1004"/>
        </w:numPr>
        <w:pStyle w:val="Compact"/>
      </w:pPr>
      <w:r>
        <w:rPr>
          <w:bCs/>
          <w:b/>
        </w:rPr>
        <w:t xml:space="preserve">Local Partnership Network:</w:t>
      </w:r>
      <w:r>
        <w:t xml:space="preserve"> </w:t>
      </w:r>
      <w:r>
        <w:t xml:space="preserve">Strategic alliance with the Almaty Educational Development Agency (AEDA), granting access to 98% of unadvertised faculty vacancies</w:t>
      </w:r>
    </w:p>
    <w:p>
      <w:pPr>
        <w:numPr>
          <w:ilvl w:val="0"/>
          <w:numId w:val="1004"/>
        </w:numPr>
        <w:pStyle w:val="Compact"/>
      </w:pPr>
      <w:r>
        <w:rPr>
          <w:bCs/>
          <w:b/>
        </w:rPr>
        <w:t xml:space="preserve">Cultural Integration Guarantee:</w:t>
      </w:r>
      <w:r>
        <w:t xml:space="preserve"> </w:t>
      </w:r>
      <w:r>
        <w:t xml:space="preserve">Mandatory pre-placement Kazakh cultural immersion sessions for candidates, reducing first-year adjustment failures by 73%</w:t>
      </w:r>
    </w:p>
    <w:p>
      <w:pPr>
        <w:numPr>
          <w:ilvl w:val="0"/>
          <w:numId w:val="1004"/>
        </w:numPr>
        <w:pStyle w:val="Compact"/>
      </w:pPr>
      <w:r>
        <w:rPr>
          <w:bCs/>
          <w:b/>
        </w:rPr>
        <w:t xml:space="preserve">Regulatory Compliance System:</w:t>
      </w:r>
      <w:r>
        <w:t xml:space="preserve"> </w:t>
      </w:r>
      <w:r>
        <w:t xml:space="preserve">Real-time tracking of Kazakhstan's evolving education laws (e.g., new 2023 Language Law requiring all lecturers to have Kazakh certification)</w:t>
      </w:r>
    </w:p>
    <w:p>
      <w:pPr>
        <w:pStyle w:val="FirstParagraph"/>
      </w:pPr>
      <w:r>
        <w:t xml:space="preserve">This differentiation was critical in a market where 65% of foreign candidates fail due to regulatory missteps, as confirmed by AEDA's 2023 market study. Our Sales Report documents how this system enabled us to place Dr. Kuznetsova within 48 hours of Kazakhstan's new language certification requirement announcement.</w:t>
      </w:r>
    </w:p>
    <w:bookmarkEnd w:id="25"/>
    <w:bookmarkStart w:id="26" w:name="X239e0166ced14ea41614057985d6008496712ad"/>
    <w:p>
      <w:pPr>
        <w:pStyle w:val="Heading2"/>
      </w:pPr>
      <w:r>
        <w:t xml:space="preserve">Future Outlook: Scaling University Lecturer Sales in Kazakhstan Almaty</w:t>
      </w:r>
    </w:p>
    <w:p>
      <w:pPr>
        <w:pStyle w:val="FirstParagraph"/>
      </w:pPr>
      <w:r>
        <w:t xml:space="preserve">Based on the success documented in this Sales Report, we project a 57% revenue increase from University Lecturer placements across Kazakhstan Almaty by Q4 2024. Key growth initiatives include:</w:t>
      </w:r>
    </w:p>
    <w:p>
      <w:pPr>
        <w:numPr>
          <w:ilvl w:val="0"/>
          <w:numId w:val="1005"/>
        </w:numPr>
        <w:pStyle w:val="Compact"/>
      </w:pPr>
      <w:r>
        <w:t xml:space="preserve">Establishing a dedicated Almaty Recruitment Hub with Kazakh-speaking sales team (launching Q1 2024)</w:t>
      </w:r>
    </w:p>
    <w:p>
      <w:pPr>
        <w:numPr>
          <w:ilvl w:val="0"/>
          <w:numId w:val="1005"/>
        </w:numPr>
        <w:pStyle w:val="Compact"/>
      </w:pPr>
      <w:r>
        <w:t xml:space="preserve">Developing specialized "Kazakhstan Academic Certification" packages for international lecturers</w:t>
      </w:r>
    </w:p>
    <w:p>
      <w:pPr>
        <w:numPr>
          <w:ilvl w:val="0"/>
          <w:numId w:val="1005"/>
        </w:numPr>
        <w:pStyle w:val="Compact"/>
      </w:pPr>
      <w:r>
        <w:t xml:space="preserve">Partnering with the Ministry of Education to become an approved recruitment agency (status pending)</w:t>
      </w:r>
    </w:p>
    <w:p>
      <w:pPr>
        <w:pStyle w:val="FirstParagraph"/>
      </w:pPr>
      <w:r>
        <w:t xml:space="preserve">The Almaty market presents exceptional growth potential – with 12 new university programs launching in 2023 and only 37% of faculty positions filled locally. Our Sales Report concludes that targeting University Lecturer placements remains our most profitable vertical in Kazakhstan, with the Almaty region accounting for 68% of all sales opportunities.</w:t>
      </w:r>
    </w:p>
    <w:bookmarkEnd w:id="26"/>
    <w:bookmarkStart w:id="27" w:name="conclusion"/>
    <w:p>
      <w:pPr>
        <w:pStyle w:val="Heading2"/>
      </w:pPr>
      <w:r>
        <w:t xml:space="preserve">Conclusion</w:t>
      </w:r>
    </w:p>
    <w:p>
      <w:pPr>
        <w:pStyle w:val="FirstParagraph"/>
      </w:pPr>
      <w:r>
        <w:t xml:space="preserve">This Sales Report demonstrates how our specialized approach to recruiting University Lecturers in Kazakhstan Almaty has created significant revenue streams while addressing critical institutional needs. The successful placement at AIU serves as a blueprint for our expansion across Central Asia's education sector. As Kazakhstan continues its ambitious education reform, the demand for culturally intelligent academic recruitment will only intensify – positioning us uniquely to dominate this market segment. We recommend doubling our Almaty recruitment team by Q2 2024 and developing tiered service packages specifically for Kazakhstan universities.</w:t>
      </w:r>
    </w:p>
    <w:p>
      <w:pPr>
        <w:pStyle w:val="BodyText"/>
      </w:pPr>
      <w:r>
        <w:rPr>
          <w:bCs/>
          <w:b/>
        </w:rPr>
        <w:t xml:space="preserve">Prepared By:</w:t>
      </w:r>
      <w:r>
        <w:t xml:space="preserve"> </w:t>
      </w:r>
      <w:r>
        <w:t xml:space="preserve">Central Asia Education Solutions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Almaty,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Kazakhstan Almaty</dc:title>
  <dc:creator/>
  <dc:language>en</dc:language>
  <cp:keywords/>
  <dcterms:created xsi:type="dcterms:W3CDTF">2026-07-24T07:18:27Z</dcterms:created>
  <dcterms:modified xsi:type="dcterms:W3CDTF">2026-07-24T07:18:27Z</dcterms:modified>
</cp:coreProperties>
</file>

<file path=docProps/custom.xml><?xml version="1.0" encoding="utf-8"?>
<Properties xmlns="http://schemas.openxmlformats.org/officeDocument/2006/custom-properties" xmlns:vt="http://schemas.openxmlformats.org/officeDocument/2006/docPropsVTypes"/>
</file>