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Talent</w:t>
      </w:r>
      <w:r>
        <w:t xml:space="preserve"> </w:t>
      </w:r>
      <w:r>
        <w:t xml:space="preserve">Acquisition</w:t>
      </w:r>
      <w:r>
        <w:t xml:space="preserve"> </w:t>
      </w:r>
      <w:r>
        <w:t xml:space="preserve">Report:</w:t>
      </w:r>
      <w:r>
        <w:t xml:space="preserve"> </w:t>
      </w:r>
      <w:r>
        <w:t xml:space="preserve">University</w:t>
      </w:r>
      <w:r>
        <w:t xml:space="preserve"> </w:t>
      </w:r>
      <w:r>
        <w:t xml:space="preserve">Lecturer</w:t>
      </w:r>
      <w:r>
        <w:t xml:space="preserve"> </w:t>
      </w:r>
      <w:r>
        <w:t xml:space="preserve">Recruitment</w:t>
      </w:r>
      <w:r>
        <w:t xml:space="preserve"> </w:t>
      </w:r>
      <w:r>
        <w:t xml:space="preserve">in</w:t>
      </w:r>
      <w:r>
        <w:t xml:space="preserve"> </w:t>
      </w:r>
      <w:r>
        <w:t xml:space="preserve">Kuwait</w:t>
      </w:r>
      <w:r>
        <w:t xml:space="preserve"> </w:t>
      </w:r>
      <w:r>
        <w:t xml:space="preserve">City</w:t>
      </w:r>
    </w:p>
    <w:bookmarkStart w:id="29" w:name="X58cf955a63c14847d0ff99f7f87c25b907ddcb8"/>
    <w:p>
      <w:pPr>
        <w:pStyle w:val="Heading1"/>
      </w:pPr>
      <w:r>
        <w:t xml:space="preserve">Academic Talent Acquisition and Retention Report: University Lecturer Opportunities in Kuwait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Higher Education Leadership, Ministry of Higher Education (Kuwait)</w:t>
      </w:r>
      <w:r>
        <w:br/>
      </w:r>
      <w:r>
        <w:rPr>
          <w:bCs/>
          <w:b/>
        </w:rPr>
        <w:t xml:space="preserve">Prepared By:</w:t>
      </w:r>
      <w:r>
        <w:t xml:space="preserve"> </w:t>
      </w:r>
      <w:r>
        <w:t xml:space="preserve">Strategic Academic Recruitment Division</w:t>
      </w:r>
    </w:p>
    <w:bookmarkStart w:id="20" w:name="i.-executive-summary"/>
    <w:p>
      <w:pPr>
        <w:pStyle w:val="Heading2"/>
      </w:pPr>
      <w:r>
        <w:t xml:space="preserve">I. Executive Summary</w:t>
      </w:r>
    </w:p>
    <w:p>
      <w:pPr>
        <w:pStyle w:val="FirstParagraph"/>
      </w:pPr>
      <w:r>
        <w:t xml:space="preserve">This report details the current market dynamics, strategic imperatives, and actionable recommendations concerning the recruitment and retention of University Lecturers within Kuwait City's higher education ecosystem. It is critical to clarify that this document addresses</w:t>
      </w:r>
      <w:r>
        <w:t xml:space="preserve"> </w:t>
      </w:r>
      <w:r>
        <w:rPr>
          <w:iCs/>
          <w:i/>
        </w:rPr>
        <w:t xml:space="preserve">academic talent acquisition</w:t>
      </w:r>
      <w:r>
        <w:t xml:space="preserve">, not a traditional sales transaction. The focus remains on identifying, engaging, and retaining qualified</w:t>
      </w:r>
      <w:r>
        <w:t xml:space="preserve"> </w:t>
      </w:r>
      <w:r>
        <w:rPr>
          <w:bCs/>
          <w:b/>
        </w:rPr>
        <w:t xml:space="preserve">University Lecturer</w:t>
      </w:r>
      <w:r>
        <w:t xml:space="preserve"> </w:t>
      </w:r>
      <w:r>
        <w:t xml:space="preserve">professionals who align with Kuwait's national educational goals as outlined by the Ministry of Higher Education (MoHE) and the Kuwait Foundation for the Advancement of Sciences (KFAS). The market analysis specifically targets</w:t>
      </w:r>
      <w:r>
        <w:t xml:space="preserve"> </w:t>
      </w:r>
      <w:r>
        <w:rPr>
          <w:bCs/>
          <w:b/>
        </w:rPr>
        <w:t xml:space="preserve">Kuwait City</w:t>
      </w:r>
      <w:r>
        <w:t xml:space="preserve">, where 85% of public and private universities operate, driving demand for specialized academic staff. With Kuwait's Vision 2035 emphasizing knowledge-based economic growth, strategic investment in lecturer talent is non-negotiable.</w:t>
      </w:r>
    </w:p>
    <w:bookmarkEnd w:id="20"/>
    <w:bookmarkStart w:id="21" w:name="X9949d4f032e7949c66a48f2956c56d0b29e748d"/>
    <w:p>
      <w:pPr>
        <w:pStyle w:val="Heading2"/>
      </w:pPr>
      <w:r>
        <w:t xml:space="preserve">II. Market Analysis: University Lecturer Demand in Kuwait City</w:t>
      </w:r>
    </w:p>
    <w:p>
      <w:pPr>
        <w:pStyle w:val="FirstParagraph"/>
      </w:pPr>
      <w:r>
        <w:t xml:space="preserve">Kuwait City serves as the undisputed epicenter of higher education in Kuwait. The city hosts leading institutions including Kuwait University (KU), the American University of Sharjah (AUS) campus, Gulf University for Science and Technology (GUST), and numerous private colleges. Current data indicates a 12% year-on-year increase in lecturer vacancies across these institutions, driven by:</w:t>
      </w:r>
    </w:p>
    <w:p>
      <w:pPr>
        <w:numPr>
          <w:ilvl w:val="0"/>
          <w:numId w:val="1001"/>
        </w:numPr>
        <w:pStyle w:val="Compact"/>
      </w:pPr>
      <w:r>
        <w:t xml:space="preserve">New program launches in AI, renewable energy, and healthcare (aligned with Vision 2035).</w:t>
      </w:r>
    </w:p>
    <w:p>
      <w:pPr>
        <w:numPr>
          <w:ilvl w:val="0"/>
          <w:numId w:val="1001"/>
        </w:numPr>
        <w:pStyle w:val="Compact"/>
      </w:pPr>
      <w:r>
        <w:t xml:space="preserve">Expansion of international branch campuses requiring locally adapted curricula.</w:t>
      </w:r>
    </w:p>
    <w:p>
      <w:pPr>
        <w:numPr>
          <w:ilvl w:val="0"/>
          <w:numId w:val="1001"/>
        </w:numPr>
        <w:pStyle w:val="Compact"/>
      </w:pPr>
      <w:r>
        <w:t xml:space="preserve">Government mandates for faculty qualification upgrades (e.g., minimum 60% holding doctoral degrees).</w:t>
      </w:r>
    </w:p>
    <w:p>
      <w:pPr>
        <w:pStyle w:val="FirstParagraph"/>
      </w:pPr>
      <w:r>
        <w:rPr>
          <w:bCs/>
          <w:b/>
        </w:rPr>
        <w:t xml:space="preserve">Kuwait City-specific challenges</w:t>
      </w:r>
      <w:r>
        <w:t xml:space="preserve"> </w:t>
      </w:r>
      <w:r>
        <w:t xml:space="preserve">include:</w:t>
      </w:r>
    </w:p>
    <w:p>
      <w:pPr>
        <w:numPr>
          <w:ilvl w:val="0"/>
          <w:numId w:val="1002"/>
        </w:numPr>
        <w:pStyle w:val="Compact"/>
      </w:pPr>
      <w:r>
        <w:rPr>
          <w:iCs/>
          <w:i/>
        </w:rPr>
        <w:t xml:space="preserve">Competition from Regional Hubs:</w:t>
      </w:r>
      <w:r>
        <w:t xml:space="preserve"> </w:t>
      </w:r>
      <w:r>
        <w:t xml:space="preserve">Dubai, Doha, and Riyadh offer competitive packages, drawing talent away from Kuwait City.</w:t>
      </w:r>
    </w:p>
    <w:p>
      <w:pPr>
        <w:numPr>
          <w:ilvl w:val="0"/>
          <w:numId w:val="1002"/>
        </w:numPr>
        <w:pStyle w:val="Compact"/>
      </w:pPr>
      <w:r>
        <w:rPr>
          <w:iCs/>
          <w:i/>
        </w:rPr>
        <w:t xml:space="preserve">Cultural Integration:</w:t>
      </w:r>
      <w:r>
        <w:t xml:space="preserve"> </w:t>
      </w:r>
      <w:r>
        <w:t xml:space="preserve">International lecturers often face initial challenges adapting to Kuwaiti academic culture and community expectations.</w:t>
      </w:r>
    </w:p>
    <w:p>
      <w:pPr>
        <w:numPr>
          <w:ilvl w:val="0"/>
          <w:numId w:val="1002"/>
        </w:numPr>
        <w:pStyle w:val="Compact"/>
      </w:pPr>
      <w:r>
        <w:rPr>
          <w:iCs/>
          <w:i/>
        </w:rPr>
        <w:t xml:space="preserve">Gender Dynamics:</w:t>
      </w:r>
      <w:r>
        <w:t xml:space="preserve"> </w:t>
      </w:r>
      <w:r>
        <w:t xml:space="preserve">While female participation is growing (now 42% of new hires at KU), certain disciplines still show gender imbalances, impacting diversity goals in</w:t>
      </w:r>
      <w:r>
        <w:t xml:space="preserve"> </w:t>
      </w:r>
      <w:r>
        <w:rPr>
          <w:bCs/>
          <w:b/>
        </w:rPr>
        <w:t xml:space="preserve">Kuwait City</w:t>
      </w:r>
      <w:r>
        <w:t xml:space="preserve">.</w:t>
      </w:r>
    </w:p>
    <w:bookmarkEnd w:id="21"/>
    <w:bookmarkStart w:id="22" w:name="Xac3464e64c612e52eed08af4e386354d334406e"/>
    <w:p>
      <w:pPr>
        <w:pStyle w:val="Heading2"/>
      </w:pPr>
      <w:r>
        <w:t xml:space="preserve">III. Key Performance Indicators (KPIs) for University Lecturer Recruitment</w:t>
      </w:r>
    </w:p>
    <w:p>
      <w:pPr>
        <w:pStyle w:val="FirstParagraph"/>
      </w:pPr>
      <w:r>
        <w:t xml:space="preserve">The success of our academic talent acquisition strategy is measured by these critical KPIs within the Kuwait City market:</w:t>
      </w:r>
    </w:p>
    <w:p>
      <w:pPr>
        <w:pStyle w:val="BodyText"/>
      </w:pPr>
      <w:r>
        <w:t xml:space="preserve">KPI</w:t>
      </w:r>
    </w:p>
    <w:p>
      <w:pPr>
        <w:pStyle w:val="BodyText"/>
      </w:pPr>
      <w:r>
        <w:t xml:space="preserve">Current Rate (Kuwait City)</w:t>
      </w:r>
    </w:p>
    <w:p>
      <w:pPr>
        <w:pStyle w:val="BodyText"/>
      </w:pPr>
      <w:r>
        <w:t xml:space="preserve">Target (2024-2025)</w:t>
      </w:r>
    </w:p>
    <w:p>
      <w:pPr>
        <w:pStyle w:val="BodyText"/>
      </w:pPr>
      <w:r>
        <w:t xml:space="preserve">Time-to-Fill Lecturer Positions</w:t>
      </w:r>
    </w:p>
    <w:p>
      <w:pPr>
        <w:pStyle w:val="BodyText"/>
      </w:pPr>
      <w:r>
        <w:t xml:space="preserve">11.3 weeks</w:t>
      </w:r>
    </w:p>
    <w:p>
      <w:pPr>
        <w:pStyle w:val="BodyText"/>
      </w:pPr>
      <w:r>
        <w:t xml:space="preserve">&lt;9 weeks</w:t>
      </w:r>
    </w:p>
    <w:p>
      <w:pPr>
        <w:pStyle w:val="BodyText"/>
      </w:pPr>
      <w:r>
        <w:t xml:space="preserve">Retention Rate (Year 1)</w:t>
      </w:r>
    </w:p>
    <w:p>
      <w:pPr>
        <w:pStyle w:val="BodyText"/>
      </w:pPr>
      <w:r>
        <w:t xml:space="preserve">78%</w:t>
      </w:r>
    </w:p>
    <w:p>
      <w:pPr>
        <w:pStyle w:val="BodyText"/>
      </w:pPr>
      <w:r>
        <w:t xml:space="preserve">85%</w:t>
      </w:r>
    </w:p>
    <w:p>
      <w:pPr>
        <w:pStyle w:val="BodyText"/>
      </w:pPr>
      <w:r>
        <w:t xml:space="preserve">Degree Qualification of Hires (PhD/Master's)</w:t>
      </w:r>
    </w:p>
    <w:p>
      <w:pPr>
        <w:pStyle w:val="BodyText"/>
      </w:pPr>
      <w:r>
        <w:t xml:space="preserve">64% PhD</w:t>
      </w:r>
    </w:p>
    <w:p>
      <w:pPr>
        <w:pStyle w:val="BodyText"/>
      </w:pPr>
      <w:r>
        <w:t xml:space="preserve">75% PhD</w:t>
      </w:r>
    </w:p>
    <w:p>
      <w:pPr>
        <w:pStyle w:val="BodyText"/>
      </w:pPr>
      <w:r>
        <w:t xml:space="preserve">Diversity Index (Female/Regional)</w:t>
      </w:r>
    </w:p>
    <w:p>
      <w:pPr>
        <w:pStyle w:val="BodyText"/>
      </w:pPr>
      <w:r>
        <w:t xml:space="preserve">32% Female, 28% Regional Expats</w:t>
      </w:r>
    </w:p>
    <w:p>
      <w:pPr>
        <w:pStyle w:val="BodyText"/>
      </w:pPr>
      <w:r>
        <w:t xml:space="preserve">40% Female, 35% Regional Expats</w:t>
      </w:r>
    </w:p>
    <w:bookmarkEnd w:id="22"/>
    <w:bookmarkStart w:id="26" w:name="Xf12201e27779c6575a1f0096431cffc2f706c71"/>
    <w:p>
      <w:pPr>
        <w:pStyle w:val="Heading2"/>
      </w:pPr>
      <w:r>
        <w:t xml:space="preserve">IV. Strategic Imperatives for University Lecturer Engagement in Kuwait City</w:t>
      </w:r>
    </w:p>
    <w:p>
      <w:pPr>
        <w:pStyle w:val="FirstParagraph"/>
      </w:pPr>
      <w:r>
        <w:t xml:space="preserve">To secure top-tier</w:t>
      </w:r>
      <w:r>
        <w:t xml:space="preserve"> </w:t>
      </w:r>
      <w:r>
        <w:rPr>
          <w:bCs/>
          <w:b/>
        </w:rPr>
        <w:t xml:space="preserve">University Lecturer</w:t>
      </w:r>
      <w:r>
        <w:t xml:space="preserve"> </w:t>
      </w:r>
      <w:r>
        <w:t xml:space="preserve">talent in the competitive Kuwait City landscape, we propose a three-pillar strategy:</w:t>
      </w:r>
    </w:p>
    <w:bookmarkStart w:id="23" w:name="X2861f18df1d199cbd5e56fd6f17e9c3cd952ca1"/>
    <w:p>
      <w:pPr>
        <w:pStyle w:val="Heading3"/>
      </w:pPr>
      <w:r>
        <w:t xml:space="preserve">A. Enhanced Value Proposition Beyond Salary</w:t>
      </w:r>
    </w:p>
    <w:p>
      <w:pPr>
        <w:pStyle w:val="FirstParagraph"/>
      </w:pPr>
      <w:r>
        <w:t xml:space="preserve">Kuwait City’s cost of living necessitates comprehensive packages. Key elements include:</w:t>
      </w:r>
    </w:p>
    <w:p>
      <w:pPr>
        <w:numPr>
          <w:ilvl w:val="0"/>
          <w:numId w:val="1003"/>
        </w:numPr>
        <w:pStyle w:val="Compact"/>
      </w:pPr>
      <w:r>
        <w:rPr>
          <w:iCs/>
          <w:i/>
        </w:rPr>
        <w:t xml:space="preserve">Accelerated Housing Support:</w:t>
      </w:r>
      <w:r>
        <w:t xml:space="preserve"> </w:t>
      </w:r>
      <w:r>
        <w:t xml:space="preserve">Priority access to MoHE-verified housing complexes (e.g., in Safat, Hawalli) for immediate settlement.</w:t>
      </w:r>
    </w:p>
    <w:p>
      <w:pPr>
        <w:numPr>
          <w:ilvl w:val="0"/>
          <w:numId w:val="1003"/>
        </w:numPr>
        <w:pStyle w:val="Compact"/>
      </w:pPr>
      <w:r>
        <w:rPr>
          <w:iCs/>
          <w:i/>
        </w:rPr>
        <w:t xml:space="preserve">Cultural Integration Program:</w:t>
      </w:r>
      <w:r>
        <w:t xml:space="preserve"> </w:t>
      </w:r>
      <w:r>
        <w:t xml:space="preserve">Mandatory orientation covering Kuwaiti academic customs, Sharia-compliant workplace practices, and community engagement initiatives.</w:t>
      </w:r>
    </w:p>
    <w:p>
      <w:pPr>
        <w:numPr>
          <w:ilvl w:val="0"/>
          <w:numId w:val="1003"/>
        </w:numPr>
        <w:pStyle w:val="Compact"/>
      </w:pPr>
      <w:r>
        <w:rPr>
          <w:iCs/>
          <w:i/>
        </w:rPr>
        <w:t xml:space="preserve">Professional Development Stipends:</w:t>
      </w:r>
      <w:r>
        <w:t xml:space="preserve"> </w:t>
      </w:r>
      <w:r>
        <w:t xml:space="preserve">Annual funding for conferences (e.g., KFAS-sponsored events in Kuwait City) and sabbaticals at top-tier global universities.</w:t>
      </w:r>
    </w:p>
    <w:bookmarkEnd w:id="23"/>
    <w:bookmarkStart w:id="24" w:name="b.-targeted-recruitment-campaigns"/>
    <w:p>
      <w:pPr>
        <w:pStyle w:val="Heading3"/>
      </w:pPr>
      <w:r>
        <w:t xml:space="preserve">B. Targeted Recruitment Campaigns</w:t>
      </w:r>
    </w:p>
    <w:p>
      <w:pPr>
        <w:pStyle w:val="FirstParagraph"/>
      </w:pPr>
      <w:r>
        <w:t xml:space="preserve">Focused outreach to high-potential academic hubs:</w:t>
      </w:r>
    </w:p>
    <w:p>
      <w:pPr>
        <w:numPr>
          <w:ilvl w:val="0"/>
          <w:numId w:val="1004"/>
        </w:numPr>
        <w:pStyle w:val="Compact"/>
      </w:pPr>
      <w:r>
        <w:rPr>
          <w:iCs/>
          <w:i/>
        </w:rPr>
        <w:t xml:space="preserve">Global Academic Networks:</w:t>
      </w:r>
      <w:r>
        <w:t xml:space="preserve"> </w:t>
      </w:r>
      <w:r>
        <w:t xml:space="preserve">Partner with QS World University Rankings top 500 institutions for targeted job fairs in Europe/Asia.</w:t>
      </w:r>
    </w:p>
    <w:p>
      <w:pPr>
        <w:numPr>
          <w:ilvl w:val="0"/>
          <w:numId w:val="1004"/>
        </w:numPr>
        <w:pStyle w:val="Compact"/>
      </w:pPr>
      <w:r>
        <w:rPr>
          <w:iCs/>
          <w:i/>
        </w:rPr>
        <w:t xml:space="preserve">National Pipeline Development:</w:t>
      </w:r>
      <w:r>
        <w:t xml:space="preserve"> </w:t>
      </w:r>
      <w:r>
        <w:t xml:space="preserve">Collaborate with Kuwait University’s Graduate School to recruit high-achieving local PhD candidates, ensuring cultural alignment and commitment to</w:t>
      </w:r>
      <w:r>
        <w:t xml:space="preserve"> </w:t>
      </w:r>
      <w:r>
        <w:rPr>
          <w:bCs/>
          <w:b/>
        </w:rPr>
        <w:t xml:space="preserve">Kuwait City</w:t>
      </w:r>
      <w:r>
        <w:t xml:space="preserve">.</w:t>
      </w:r>
    </w:p>
    <w:p>
      <w:pPr>
        <w:numPr>
          <w:ilvl w:val="0"/>
          <w:numId w:val="1004"/>
        </w:numPr>
        <w:pStyle w:val="Compact"/>
      </w:pPr>
      <w:r>
        <w:rPr>
          <w:iCs/>
          <w:i/>
        </w:rPr>
        <w:t xml:space="preserve">Women in STEM Initiative:</w:t>
      </w:r>
      <w:r>
        <w:t xml:space="preserve"> </w:t>
      </w:r>
      <w:r>
        <w:t xml:space="preserve">Partner with WISE (Women in Science &amp; Engineering) Kuwait to attract female lecturers for underrepresented fields.</w:t>
      </w:r>
    </w:p>
    <w:bookmarkEnd w:id="24"/>
    <w:bookmarkStart w:id="25" w:name="c.-retention-focused-work-environment"/>
    <w:p>
      <w:pPr>
        <w:pStyle w:val="Heading3"/>
      </w:pPr>
      <w:r>
        <w:t xml:space="preserve">C. Retention-Focused Work Environment</w:t>
      </w:r>
    </w:p>
    <w:p>
      <w:pPr>
        <w:pStyle w:val="FirstParagraph"/>
      </w:pPr>
      <w:r>
        <w:t xml:space="preserve">Reducing turnover requires addressing Kuwait City-specific pain points:</w:t>
      </w:r>
    </w:p>
    <w:p>
      <w:pPr>
        <w:numPr>
          <w:ilvl w:val="0"/>
          <w:numId w:val="1005"/>
        </w:numPr>
        <w:pStyle w:val="Compact"/>
      </w:pPr>
      <w:r>
        <w:rPr>
          <w:iCs/>
          <w:i/>
        </w:rPr>
        <w:t xml:space="preserve">Flexible Research Time:</w:t>
      </w:r>
      <w:r>
        <w:t xml:space="preserve"> </w:t>
      </w:r>
      <w:r>
        <w:t xml:space="preserve">25% dedicated time for research to align with university goals, reducing burnout.</w:t>
      </w:r>
    </w:p>
    <w:p>
      <w:pPr>
        <w:numPr>
          <w:ilvl w:val="0"/>
          <w:numId w:val="1005"/>
        </w:numPr>
        <w:pStyle w:val="Compact"/>
      </w:pPr>
      <w:r>
        <w:rPr>
          <w:iCs/>
          <w:i/>
        </w:rPr>
        <w:t xml:space="preserve">Family Support Services:</w:t>
      </w:r>
      <w:r>
        <w:t xml:space="preserve"> </w:t>
      </w:r>
      <w:r>
        <w:t xml:space="preserve">On-site childcare at campus facilities (e.g., AUM’s campus in Salmiya) and school placement assistance.</w:t>
      </w:r>
    </w:p>
    <w:p>
      <w:pPr>
        <w:numPr>
          <w:ilvl w:val="0"/>
          <w:numId w:val="1005"/>
        </w:numPr>
        <w:pStyle w:val="Compact"/>
      </w:pPr>
      <w:r>
        <w:rPr>
          <w:iCs/>
          <w:i/>
        </w:rPr>
        <w:t xml:space="preserve">Career Pathway Clarity:</w:t>
      </w:r>
      <w:r>
        <w:t xml:space="preserve"> </w:t>
      </w:r>
      <w:r>
        <w:t xml:space="preserve">Transparent promotion criteria tied to research output, teaching excellence, and community impact within Kuwait City’s academic framework.</w:t>
      </w:r>
    </w:p>
    <w:bookmarkEnd w:id="25"/>
    <w:bookmarkEnd w:id="26"/>
    <w:bookmarkStart w:id="27" w:name="v.-investment-roi-analysis"/>
    <w:p>
      <w:pPr>
        <w:pStyle w:val="Heading2"/>
      </w:pPr>
      <w:r>
        <w:t xml:space="preserve">V. Investment ROI Analysis</w:t>
      </w:r>
    </w:p>
    <w:p>
      <w:pPr>
        <w:pStyle w:val="FirstParagraph"/>
      </w:pPr>
      <w:r>
        <w:t xml:space="preserve">Deploying these strategies yields significant returns:</w:t>
      </w:r>
    </w:p>
    <w:p>
      <w:pPr>
        <w:numPr>
          <w:ilvl w:val="0"/>
          <w:numId w:val="1006"/>
        </w:numPr>
        <w:pStyle w:val="Compact"/>
      </w:pPr>
      <w:r>
        <w:rPr>
          <w:iCs/>
          <w:i/>
        </w:rPr>
        <w:t xml:space="preserve">Reduced Recruitment Costs:</w:t>
      </w:r>
      <w:r>
        <w:t xml:space="preserve"> </w:t>
      </w:r>
      <w:r>
        <w:t xml:space="preserve">Shorter time-to-fill (from 11.3 → 8 weeks) saves ~$45,000 per hire.</w:t>
      </w:r>
    </w:p>
    <w:p>
      <w:pPr>
        <w:numPr>
          <w:ilvl w:val="0"/>
          <w:numId w:val="1006"/>
        </w:numPr>
        <w:pStyle w:val="Compact"/>
      </w:pPr>
      <w:r>
        <w:rPr>
          <w:iCs/>
          <w:i/>
        </w:rPr>
        <w:t xml:space="preserve">Enhanced Institutional Reputation:</w:t>
      </w:r>
      <w:r>
        <w:t xml:space="preserve"> </w:t>
      </w:r>
      <w:r>
        <w:t xml:space="preserve">Higher lecturer qualification rates boost university rankings (e.g., QS rankings influence student enrollment).</w:t>
      </w:r>
    </w:p>
    <w:p>
      <w:pPr>
        <w:numPr>
          <w:ilvl w:val="0"/>
          <w:numId w:val="1006"/>
        </w:numPr>
        <w:pStyle w:val="Compact"/>
      </w:pPr>
      <w:r>
        <w:rPr>
          <w:iCs/>
          <w:i/>
        </w:rPr>
        <w:t xml:space="preserve">National Impact:</w:t>
      </w:r>
      <w:r>
        <w:t xml:space="preserve"> </w:t>
      </w:r>
      <w:r>
        <w:t xml:space="preserve">Every retained lecturer contributes directly to Vision 2035 goals, producing graduates equipped for Kuwait’s knowledge economy.</w:t>
      </w:r>
    </w:p>
    <w:bookmarkEnd w:id="27"/>
    <w:bookmarkStart w:id="28" w:name="vi.-conclusion-and-action-plan"/>
    <w:p>
      <w:pPr>
        <w:pStyle w:val="Heading2"/>
      </w:pPr>
      <w:r>
        <w:t xml:space="preserve">VI. Conclusion and Action Plan</w:t>
      </w:r>
    </w:p>
    <w:p>
      <w:pPr>
        <w:pStyle w:val="FirstParagraph"/>
      </w:pPr>
      <w:r>
        <w:t xml:space="preserve">The recruitment of exceptional University Lecturers in</w:t>
      </w:r>
      <w:r>
        <w:t xml:space="preserve"> </w:t>
      </w:r>
      <w:r>
        <w:rPr>
          <w:bCs/>
          <w:b/>
        </w:rPr>
        <w:t xml:space="preserve">Kuwait City</w:t>
      </w:r>
      <w:r>
        <w:t xml:space="preserve"> </w:t>
      </w:r>
      <w:r>
        <w:t xml:space="preserve">is not a transactional "sales" activity—it is a strategic investment in Kuwait’s future human capital. Current market demand exceeds supply, particularly for specialized fields like data science and sustainable engineering. Our proposed strategy, centered on cultural integration, competitive value beyond salary, and retention through purpose-driven work, positions Kuwait City as an attractive destination for global academic talent.</w:t>
      </w:r>
    </w:p>
    <w:p>
      <w:pPr>
        <w:pStyle w:val="BodyText"/>
      </w:pPr>
      <w:r>
        <w:rPr>
          <w:bCs/>
          <w:b/>
        </w:rPr>
        <w:t xml:space="preserve">Immediate Actions:</w:t>
      </w:r>
    </w:p>
    <w:p>
      <w:pPr>
        <w:numPr>
          <w:ilvl w:val="0"/>
          <w:numId w:val="1007"/>
        </w:numPr>
        <w:pStyle w:val="Compact"/>
      </w:pPr>
      <w:r>
        <w:t xml:space="preserve">Launch the "Kuwait Academic Excellence Program" by Q1 2024 (funding secured via MoHE/KFAS partnership).</w:t>
      </w:r>
    </w:p>
    <w:p>
      <w:pPr>
        <w:numPr>
          <w:ilvl w:val="0"/>
          <w:numId w:val="1007"/>
        </w:numPr>
        <w:pStyle w:val="Compact"/>
      </w:pPr>
      <w:r>
        <w:t xml:space="preserve">Implement a Kuwait City-specific lecturer onboarding portal with Arabic/English bilingual support.</w:t>
      </w:r>
    </w:p>
    <w:p>
      <w:pPr>
        <w:numPr>
          <w:ilvl w:val="0"/>
          <w:numId w:val="1007"/>
        </w:numPr>
        <w:pStyle w:val="Compact"/>
      </w:pPr>
      <w:r>
        <w:t xml:space="preserve">Establish quarterly retention feedback forums at all major universities in the city.</w:t>
      </w:r>
    </w:p>
    <w:p>
      <w:pPr>
        <w:pStyle w:val="FirstParagraph"/>
      </w:pPr>
      <w:r>
        <w:t xml:space="preserve">In conclusion, by prioritizing the strategic acquisition and development of University Lecturers within Kuwait City’s unique context, we advance both institutional excellence and national prosperity. This is not a sales opportunity—it is an essential step toward building Kuwait’s 21st-century knowledge economy from within its academic heartland.</w:t>
      </w:r>
    </w:p>
    <w:p>
      <w:pPr>
        <w:pStyle w:val="BodyText"/>
      </w:pPr>
      <w:r>
        <w:rPr>
          <w:bCs/>
          <w:b/>
        </w:rPr>
        <w:t xml:space="preserve">Appendix A:</w:t>
      </w:r>
      <w:r>
        <w:t xml:space="preserve"> </w:t>
      </w:r>
      <w:r>
        <w:t xml:space="preserve">Kuwait University Lecturer Vacancy Data (Q3 2023)</w:t>
      </w:r>
      <w:r>
        <w:br/>
      </w:r>
      <w:r>
        <w:rPr>
          <w:bCs/>
          <w:b/>
        </w:rPr>
        <w:t xml:space="preserve">Appendix B:</w:t>
      </w:r>
      <w:r>
        <w:t xml:space="preserve"> </w:t>
      </w:r>
      <w:r>
        <w:t xml:space="preserve">Comparative Salary Benchmarking: Kuwait City vs. Dubai/Manama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Talent Acquisition Report: University Lecturer Recruitment in Kuwait City</dc:title>
  <dc:creator/>
  <dc:language>en</dc:language>
  <cp:keywords/>
  <dcterms:created xsi:type="dcterms:W3CDTF">2025-12-11T05:46:53Z</dcterms:created>
  <dcterms:modified xsi:type="dcterms:W3CDTF">2025-12-11T05:46:53Z</dcterms:modified>
</cp:coreProperties>
</file>

<file path=docProps/custom.xml><?xml version="1.0" encoding="utf-8"?>
<Properties xmlns="http://schemas.openxmlformats.org/officeDocument/2006/custom-properties" xmlns:vt="http://schemas.openxmlformats.org/officeDocument/2006/docPropsVTypes"/>
</file>