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Malaysia</w:t>
      </w:r>
      <w:r>
        <w:t xml:space="preserve"> </w:t>
      </w:r>
      <w:r>
        <w:t xml:space="preserve">Kuala</w:t>
      </w:r>
      <w:r>
        <w:t xml:space="preserve"> </w:t>
      </w:r>
      <w:r>
        <w:t xml:space="preserve">Lumpur</w:t>
      </w:r>
    </w:p>
    <w:bookmarkStart w:id="26" w:name="Xcddcad411f7bf55901fb90903bc3f700bf72483"/>
    <w:p>
      <w:pPr>
        <w:pStyle w:val="Heading1"/>
      </w:pPr>
      <w:r>
        <w:t xml:space="preserve">Sales Report: University Lecturer Recruitment and Performance Metrics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Office of Academic Development, Universiti Kuala Lumpur (UkL)</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recruitment performance, teaching effectiveness metrics, and student engagement outcomes for University Lecturer positions across Malaysia Kuala Lumpur. Unlike conventional sales targets, our metrics focus on academic conversion rates—measuring how effectively University Lecturers "sell" educational value to prospective students through curriculum design, mentorship, and institutional reputation. In Malaysia's competitive higher education market (particularly in Kuala Lumpur), these performance indicators directly correlate with enrollment growth and institutional prestige. This quarter saw a 12% increase in undergraduate applications at UkL compared to Q2 2023, largely attributed to enhanced University Lecturer outreach strategies.</w:t>
      </w:r>
    </w:p>
    <w:bookmarkEnd w:id="20"/>
    <w:bookmarkStart w:id="21" w:name="X4717de9fd20b53d337ed1573e28a1430b34359f"/>
    <w:p>
      <w:pPr>
        <w:pStyle w:val="Heading2"/>
      </w:pPr>
      <w:r>
        <w:t xml:space="preserve">Section 1: Recruitment Performance Analysis</w:t>
      </w:r>
    </w:p>
    <w:p>
      <w:pPr>
        <w:pStyle w:val="FirstParagraph"/>
      </w:pPr>
      <w:r>
        <w:t xml:space="preserve">The recruitment of University Lecturers represents our most critical "sales channel" for attracting students in Malaysia Kuala Lumpur. This quarter, we implemented a targeted talent acquisition initiative focused on recruiting lecturers with industry-aligned expertise (e.g., AI, renewable energy, and digital marketing) to strengthen our value proposition. Key achievements include:</w:t>
      </w:r>
    </w:p>
    <w:p>
      <w:pPr>
        <w:numPr>
          <w:ilvl w:val="0"/>
          <w:numId w:val="1001"/>
        </w:numPr>
        <w:pStyle w:val="Compact"/>
      </w:pPr>
      <w:r>
        <w:rPr>
          <w:bCs/>
          <w:b/>
        </w:rPr>
        <w:t xml:space="preserve">92% Position Fill Rate:</w:t>
      </w:r>
      <w:r>
        <w:t xml:space="preserve"> </w:t>
      </w:r>
      <w:r>
        <w:t xml:space="preserve">Secured 18 of 19 advertised University Lecturer roles across faculties (Business, Engineering, and Computer Science), exceeding the Q3 target of 85%. Critical to this success was our partnership with KL-based professional networks like MDEC (Malaysia Digital Economy Corporation) for talent sourcing.</w:t>
      </w:r>
    </w:p>
    <w:p>
      <w:pPr>
        <w:numPr>
          <w:ilvl w:val="0"/>
          <w:numId w:val="1001"/>
        </w:numPr>
        <w:pStyle w:val="Compact"/>
      </w:pPr>
      <w:r>
        <w:rPr>
          <w:bCs/>
          <w:b/>
        </w:rPr>
        <w:t xml:space="preserve">Quality-Driven Hiring:</w:t>
      </w:r>
      <w:r>
        <w:t xml:space="preserve"> </w:t>
      </w:r>
      <w:r>
        <w:t xml:space="preserve">All new lecturers held at least 3 years of industry experience in Malaysia, directly enhancing their ability to "sell" practical skills to students. This contrasts with the industry average of 1.8 years, driving a 27% increase in student referrals from alumni.</w:t>
      </w:r>
    </w:p>
    <w:p>
      <w:pPr>
        <w:numPr>
          <w:ilvl w:val="0"/>
          <w:numId w:val="1001"/>
        </w:numPr>
        <w:pStyle w:val="Compact"/>
      </w:pPr>
      <w:r>
        <w:rPr>
          <w:bCs/>
          <w:b/>
        </w:rPr>
        <w:t xml:space="preserve">Geographical Impact:</w:t>
      </w:r>
      <w:r>
        <w:t xml:space="preserve"> </w:t>
      </w:r>
      <w:r>
        <w:t xml:space="preserve">85% of new hires are based in Kuala Lumpur, aligning with our strategic focus on campus-centric engagement. This reduced recruitment costs by 19% versus hiring from regional centers.</w:t>
      </w:r>
    </w:p>
    <w:bookmarkEnd w:id="21"/>
    <w:bookmarkStart w:id="22" w:name="X195646df576addfa5c5326597a83149bd0c6015"/>
    <w:p>
      <w:pPr>
        <w:pStyle w:val="Heading2"/>
      </w:pPr>
      <w:r>
        <w:t xml:space="preserve">Section 2: Teaching Effectiveness as a Sales Metric</w:t>
      </w:r>
    </w:p>
    <w:p>
      <w:pPr>
        <w:pStyle w:val="FirstParagraph"/>
      </w:pPr>
      <w:r>
        <w:t xml:space="preserve">At Universiti Kuala Lumpur, University Lecturers function as "academic sales representatives." Their effectiveness is measured through student conversion rates and retention—mirroring commercial sales KPIs. This quarter's data reveals:</w:t>
      </w:r>
    </w:p>
    <w:p>
      <w:pPr>
        <w:pStyle w:val="BodyText"/>
      </w:pPr>
      <w:r>
        <w:t xml:space="preserve">Performance Metric</w:t>
      </w:r>
    </w:p>
    <w:p>
      <w:pPr>
        <w:pStyle w:val="BodyText"/>
      </w:pPr>
      <w:r>
        <w:t xml:space="preserve">Current Quarter</w:t>
      </w:r>
    </w:p>
    <w:p>
      <w:pPr>
        <w:pStyle w:val="BodyText"/>
      </w:pPr>
      <w:r>
        <w:t xml:space="preserve">Q2 2023 (Baseline)</w:t>
      </w:r>
    </w:p>
    <w:p>
      <w:pPr>
        <w:pStyle w:val="BodyText"/>
      </w:pPr>
      <w:r>
        <w:t xml:space="preserve">Variance</w:t>
      </w:r>
    </w:p>
    <w:p>
      <w:pPr>
        <w:pStyle w:val="BodyText"/>
      </w:pPr>
      <w:r>
        <w:t xml:space="preserve">Student Enrollment Conversion Rate (Prospective → Enrolled)</w:t>
      </w:r>
    </w:p>
    <w:p>
      <w:pPr>
        <w:pStyle w:val="BodyText"/>
      </w:pPr>
      <w:r>
        <w:t xml:space="preserve">78%</w:t>
      </w:r>
    </w:p>
    <w:p>
      <w:pPr>
        <w:pStyle w:val="BodyText"/>
      </w:pPr>
      <w:r>
        <w:t xml:space="preserve">65%</w:t>
      </w:r>
    </w:p>
    <w:p>
      <w:pPr>
        <w:pStyle w:val="BodyText"/>
      </w:pPr>
      <w:r>
        <w:t xml:space="preserve">+13 pts</w:t>
      </w:r>
    </w:p>
    <w:p>
      <w:pPr>
        <w:pStyle w:val="BodyText"/>
      </w:pPr>
      <w:r>
        <w:t xml:space="preserve">Course Satisfaction Score (CSAT)</w:t>
      </w:r>
    </w:p>
    <w:p>
      <w:pPr>
        <w:pStyle w:val="BodyText"/>
      </w:pPr>
      <w:r>
        <w:t xml:space="preserve">4.6/5.0</w:t>
      </w:r>
    </w:p>
    <w:p>
      <w:pPr>
        <w:pStyle w:val="BodyText"/>
      </w:pPr>
      <w:r>
        <w:t xml:space="preserve">4.2/5.0</w:t>
      </w:r>
    </w:p>
    <w:p>
      <w:pPr>
        <w:pStyle w:val="BodyText"/>
      </w:pPr>
      <w:r>
        <w:t xml:space="preserve">*Based on 1,200+ student surveys at UkL campuses in KL</w:t>
      </w:r>
    </w:p>
    <w:p>
      <w:pPr>
        <w:pStyle w:val="BodyText"/>
      </w:pPr>
      <w:r>
        <w:t xml:space="preserve">Graduate Employability Rate (6 Months Post-Graduation)</w:t>
      </w:r>
    </w:p>
    <w:p>
      <w:pPr>
        <w:pStyle w:val="BodyText"/>
      </w:pPr>
      <w:r>
        <w:t xml:space="preserve">89%</w:t>
      </w:r>
    </w:p>
    <w:p>
      <w:pPr>
        <w:pStyle w:val="BodyText"/>
      </w:pPr>
      <w:r>
        <w:t xml:space="preserve">83%</w:t>
      </w:r>
    </w:p>
    <w:p>
      <w:pPr>
        <w:pStyle w:val="BodyText"/>
      </w:pPr>
      <w:r>
        <w:t xml:space="preserve">+6 pts</w:t>
      </w:r>
    </w:p>
    <w:p>
      <w:pPr>
        <w:pStyle w:val="BodyText"/>
      </w:pPr>
      <w:r>
        <w:rPr>
          <w:iCs/>
          <w:i/>
        </w:rPr>
        <w:t xml:space="preserve">Key Insight:</w:t>
      </w:r>
      <w:r>
        <w:t xml:space="preserve"> </w:t>
      </w:r>
      <w:r>
        <w:t xml:space="preserve">University Lecturers in Kuala Lumpur who implemented "industry immersion" sessions (e.g., guest lectures from KL-based tech firms like Grab and Petronas) achieved 22% higher student conversion rates. This demonstrates how academic staff act as catalysts for institutional sales growth in Malaysia's competitive education landscape.</w:t>
      </w:r>
    </w:p>
    <w:bookmarkEnd w:id="22"/>
    <w:bookmarkStart w:id="23" w:name="X9dfe9504d729a6c7ad10ac9c761226f2c1a07aa"/>
    <w:p>
      <w:pPr>
        <w:pStyle w:val="Heading2"/>
      </w:pPr>
      <w:r>
        <w:t xml:space="preserve">Section 3: Market Positioning in Kuala Lumpur</w:t>
      </w:r>
    </w:p>
    <w:p>
      <w:pPr>
        <w:pStyle w:val="FirstParagraph"/>
      </w:pPr>
      <w:r>
        <w:t xml:space="preserve">Kuala Lumpur’s university sector is fiercely competitive, with over 50 institutions vying for Malaysia’s top student talent. Our University Lecturer network has become a strategic differentiator:</w:t>
      </w:r>
    </w:p>
    <w:p>
      <w:pPr>
        <w:numPr>
          <w:ilvl w:val="0"/>
          <w:numId w:val="1002"/>
        </w:numPr>
        <w:pStyle w:val="Compact"/>
      </w:pPr>
      <w:r>
        <w:rPr>
          <w:bCs/>
          <w:b/>
        </w:rPr>
        <w:t xml:space="preserve">Brand Association:</w:t>
      </w:r>
      <w:r>
        <w:t xml:space="preserve"> </w:t>
      </w:r>
      <w:r>
        <w:t xml:space="preserve">68% of surveyed prospective students cited "industry-experienced lecturers" as their primary reason for choosing UkL over rivals (e.g., UTM, UM). In KL’s high-demand fields like Data Science, this figure rose to 79%.</w:t>
      </w:r>
    </w:p>
    <w:p>
      <w:pPr>
        <w:numPr>
          <w:ilvl w:val="0"/>
          <w:numId w:val="1002"/>
        </w:numPr>
        <w:pStyle w:val="Compact"/>
      </w:pPr>
      <w:r>
        <w:rPr>
          <w:bCs/>
          <w:b/>
        </w:rPr>
        <w:t xml:space="preserve">Local Community Impact:</w:t>
      </w:r>
      <w:r>
        <w:t xml:space="preserve"> </w:t>
      </w:r>
      <w:r>
        <w:t xml:space="preserve">Lecturer-led workshops at KL community centers (e.g., Bangsar, Petaling Jaya) generated 153 qualified leads for September intake—a 40% surge from Q2. This "grassroots sales" approach strengthens our market presence in the capital.</w:t>
      </w:r>
    </w:p>
    <w:p>
      <w:pPr>
        <w:numPr>
          <w:ilvl w:val="0"/>
          <w:numId w:val="1002"/>
        </w:numPr>
        <w:pStyle w:val="Compact"/>
      </w:pPr>
      <w:r>
        <w:rPr>
          <w:bCs/>
          <w:b/>
        </w:rPr>
        <w:t xml:space="preserve">Competitive Benchmarking:</w:t>
      </w:r>
      <w:r>
        <w:t xml:space="preserve"> </w:t>
      </w:r>
      <w:r>
        <w:t xml:space="preserve">While peers report lecturer-to-student ratios of 1:25, UkL maintains a superior 1:18 ratio in Kuala Lumpur campuses, directly boosting personalized engagement and conversion rates.</w:t>
      </w:r>
    </w:p>
    <w:bookmarkEnd w:id="23"/>
    <w:bookmarkStart w:id="24" w:name="X3e248a35f0fa19f06e6d35de695184f526e84de"/>
    <w:p>
      <w:pPr>
        <w:pStyle w:val="Heading2"/>
      </w:pPr>
      <w:r>
        <w:t xml:space="preserve">Section 4: Challenges and Strategic Recommendations</w:t>
      </w:r>
    </w:p>
    <w:p>
      <w:pPr>
        <w:pStyle w:val="FirstParagraph"/>
      </w:pPr>
      <w:r>
        <w:t xml:space="preserve">Despite strong performance, two challenges require immediate action to sustain sales momentum:</w:t>
      </w:r>
    </w:p>
    <w:p>
      <w:pPr>
        <w:numPr>
          <w:ilvl w:val="0"/>
          <w:numId w:val="1003"/>
        </w:numPr>
        <w:pStyle w:val="Compact"/>
      </w:pPr>
      <w:r>
        <w:rPr>
          <w:bCs/>
          <w:b/>
        </w:rPr>
        <w:t xml:space="preserve">Talent Retention Pressure:</w:t>
      </w:r>
      <w:r>
        <w:t xml:space="preserve"> </w:t>
      </w:r>
      <w:r>
        <w:t xml:space="preserve">15% of University Lecturers in KL received external offers from private firms. Recommendation: Launch a "Lecturer Growth Accelerator" program offering industry certifications (e.g., AWS, PMP) to increase retention. Budget allocation: RM 250,000 for Q4 2023.</w:t>
      </w:r>
    </w:p>
    <w:p>
      <w:pPr>
        <w:numPr>
          <w:ilvl w:val="0"/>
          <w:numId w:val="1003"/>
        </w:numPr>
        <w:pStyle w:val="Compact"/>
      </w:pPr>
      <w:r>
        <w:rPr>
          <w:bCs/>
          <w:b/>
        </w:rPr>
        <w:t xml:space="preserve">Regional Disparity:</w:t>
      </w:r>
      <w:r>
        <w:t xml:space="preserve"> </w:t>
      </w:r>
      <w:r>
        <w:t xml:space="preserve">Rural campuses show lower conversion rates than KL centers (68% vs. 78%). Recommendation: Deploy "KL-based lecturer ambassadors" to rural outreach events, targeting a 15-point improvement in regional metrics by Q1 2024.</w:t>
      </w:r>
    </w:p>
    <w:bookmarkEnd w:id="24"/>
    <w:bookmarkStart w:id="25" w:name="conclusion"/>
    <w:p>
      <w:pPr>
        <w:pStyle w:val="Heading2"/>
      </w:pPr>
      <w:r>
        <w:t xml:space="preserve">Conclusion</w:t>
      </w:r>
    </w:p>
    <w:p>
      <w:pPr>
        <w:pStyle w:val="FirstParagraph"/>
      </w:pPr>
      <w:r>
        <w:t xml:space="preserve">This Sales Report confirms that University Lecturers are Malaysia Kuala Lumpur’s most valuable sales assets. Their expertise directly drives enrollment growth, brand perception, and graduate outcomes in a market where 63% of students prioritize "practical skill acquisition" over theoretical learning (Malaysian Higher Education Ministry Survey, Q2 2023). By treating lecturer recruitment and development as a core revenue strategy—not merely an HR function—Universiti Kuala Lumpur has positioned itself for sustained market leadership.</w:t>
      </w:r>
    </w:p>
    <w:p>
      <w:pPr>
        <w:pStyle w:val="BodyText"/>
      </w:pPr>
      <w:r>
        <w:t xml:space="preserve">Looking ahead, we recommend integrating real-time analytics into our lecturer performance dashboard to track "sales" KPIs (e.g., student inquiry-to-enrollment velocity) across all KL campuses. This data-driven approach will further optimize our University Lecturer sales force, ensuring Malaysia Kuala Lumpur remains the epicenter of academic excellence in Southeast Asia.</w:t>
      </w:r>
    </w:p>
    <w:p>
      <w:pPr>
        <w:pStyle w:val="BodyText"/>
      </w:pPr>
      <w:r>
        <w:rPr>
          <w:bCs/>
          <w:b/>
        </w:rPr>
        <w:t xml:space="preserve">Prepared by:</w:t>
      </w:r>
      <w:r>
        <w:t xml:space="preserve"> </w:t>
      </w:r>
      <w:r>
        <w:t xml:space="preserve">Academic Sales Strategy Team, Universiti Kuala Lumpur</w:t>
      </w:r>
    </w:p>
    <w:p>
      <w:pPr>
        <w:pStyle w:val="BodyText"/>
      </w:pPr>
      <w:r>
        <w:rPr>
          <w:iCs/>
          <w:i/>
        </w:rPr>
        <w:t xml:space="preserve">"Where Academic Excellence Meets Market Demand"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 Malaysia Kuala Lumpur</dc:title>
  <dc:creator/>
  <dc:language>en</dc:language>
  <cp:keywords/>
  <dcterms:created xsi:type="dcterms:W3CDTF">2026-07-23T22:58:54Z</dcterms:created>
  <dcterms:modified xsi:type="dcterms:W3CDTF">2026-07-23T22:58:54Z</dcterms:modified>
</cp:coreProperties>
</file>

<file path=docProps/custom.xml><?xml version="1.0" encoding="utf-8"?>
<Properties xmlns="http://schemas.openxmlformats.org/officeDocument/2006/custom-properties" xmlns:vt="http://schemas.openxmlformats.org/officeDocument/2006/docPropsVTypes"/>
</file>