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Netherlands</w:t>
      </w:r>
      <w:r>
        <w:t xml:space="preserve"> </w:t>
      </w:r>
      <w:r>
        <w:t xml:space="preserve">Amsterdam</w:t>
      </w:r>
    </w:p>
    <w:bookmarkStart w:id="27" w:name="X3979487abd7b0df01daa0cc1af0fd4d33144053"/>
    <w:p>
      <w:pPr>
        <w:pStyle w:val="Heading1"/>
      </w:pPr>
      <w:r>
        <w:t xml:space="preserve">Annual Sales Report: Strategic Recruitment of University Lecturers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Recruitment Board, Netherlands Higher Education Consortium</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our successful recruitment initiatives for University Lecturer positions across premier institutions in Netherlands Amsterdam. Serving as the primary recruitment partner for leading universities including University of Amsterdam (UvA), Vrije Universiteit Amsterdam (VU), and Amsterdam University of Applied Sciences (AUAS), we have achieved a 92% placement rate for academic roles this fiscal year. Our strategic focus on the Netherlands Amsterdam market has generated €1.85M in recruitment revenue, representing a 23% year-over-year growth. This document underscores how our specialized approach to University Lecturer recruitment has become indispensable to Amsterdam's academic ecosystem.</w:t>
      </w:r>
    </w:p>
    <w:bookmarkEnd w:id="20"/>
    <w:bookmarkStart w:id="21" w:name="Xdcd32d754f9229861fdbe3a8f32da994eaf7881"/>
    <w:p>
      <w:pPr>
        <w:pStyle w:val="Heading2"/>
      </w:pPr>
      <w:r>
        <w:t xml:space="preserve">II. Market Analysis: University Lecturer Demand in Netherlands Amsterdam</w:t>
      </w:r>
    </w:p>
    <w:p>
      <w:pPr>
        <w:pStyle w:val="FirstParagraph"/>
      </w:pPr>
      <w:r>
        <w:t xml:space="preserve">The Netherlands Amsterdam region remains a global magnet for academic talent, with universities experiencing unprecedented demand for qualified University Lecturers. Our data reveals 47% annual growth in lecturer vacancies across STEM, Business Economics, and Sustainable Urban Development disciplines – sectors pivotal to Amsterdam’s strategic vision as Europe's innovation hub. This surge aligns with the Dutch government's "Top Sector" policy prioritizing knowledge-driven economic development.</w:t>
      </w:r>
    </w:p>
    <w:p>
      <w:pPr>
        <w:pStyle w:val="BodyText"/>
      </w:pPr>
      <w:r>
        <w:t xml:space="preserve">Crucially, Amsterdam's unique position as a cosmopolitan academic center creates specialized recruitment needs. 68% of institutions now require lecturers fluent in English for international programs, while 53% seek candidates with demonstrable experience in Dutch higher education frameworks (e.g., Bologna Process implementation). The Netherlands Amsterdam market distinguishes itself through its premium compensation packages (averaging €62,000–€78,000 annually for mid-career lecturers) and strong emphasis on research-teaching balance – a key differentiator from other European markets.</w:t>
      </w:r>
    </w:p>
    <w:bookmarkEnd w:id="21"/>
    <w:bookmarkStart w:id="22" w:name="iii.-sales-performance-highlights"/>
    <w:p>
      <w:pPr>
        <w:pStyle w:val="Heading2"/>
      </w:pPr>
      <w:r>
        <w:t xml:space="preserve">III. Sales Performance Highlights</w:t>
      </w:r>
    </w:p>
    <w:p>
      <w:pPr>
        <w:pStyle w:val="FirstParagraph"/>
      </w:pPr>
      <w:r>
        <w:t xml:space="preserve">This year's Sales Report demonstrates exceptional execution in matching top-tier University Lecturer candidates with Amsterdam institutions:</w:t>
      </w:r>
    </w:p>
    <w:p>
      <w:pPr>
        <w:numPr>
          <w:ilvl w:val="0"/>
          <w:numId w:val="1001"/>
        </w:numPr>
        <w:pStyle w:val="Compact"/>
      </w:pPr>
      <w:r>
        <w:rPr>
          <w:bCs/>
          <w:b/>
        </w:rPr>
        <w:t xml:space="preserve">Placement Volume:</w:t>
      </w:r>
      <w:r>
        <w:t xml:space="preserve"> </w:t>
      </w:r>
      <w:r>
        <w:t xml:space="preserve">147 University Lecturer roles filled (108% of annual target), including 32 positions at UvA and VU's new Climate &amp; Sustainability Research Centres.</w:t>
      </w:r>
    </w:p>
    <w:p>
      <w:pPr>
        <w:numPr>
          <w:ilvl w:val="0"/>
          <w:numId w:val="1001"/>
        </w:numPr>
        <w:pStyle w:val="Compact"/>
      </w:pPr>
      <w:r>
        <w:rPr>
          <w:bCs/>
          <w:b/>
        </w:rPr>
        <w:t xml:space="preserve">Quality Metrics:</w:t>
      </w:r>
      <w:r>
        <w:t xml:space="preserve"> </w:t>
      </w:r>
      <w:r>
        <w:t xml:space="preserve">96% of placed lecturers achieved "excellent" or "very good" teaching evaluations within their first semester, exceeding Amsterdam's institutional KPIs by 18%.</w:t>
      </w:r>
    </w:p>
    <w:p>
      <w:pPr>
        <w:numPr>
          <w:ilvl w:val="0"/>
          <w:numId w:val="1001"/>
        </w:numPr>
        <w:pStyle w:val="Compact"/>
      </w:pPr>
      <w:r>
        <w:rPr>
          <w:bCs/>
          <w:b/>
        </w:rPr>
        <w:t xml:space="preserve">Candidate Retention:</w:t>
      </w:r>
      <w:r>
        <w:t xml:space="preserve"> </w:t>
      </w:r>
      <w:r>
        <w:t xml:space="preserve">87% retention rate after one year (vs. national average of 76%), directly attributed to our meticulous cultural fit assessment during the Netherlands Amsterdam recruitment process.</w:t>
      </w:r>
    </w:p>
    <w:p>
      <w:pPr>
        <w:numPr>
          <w:ilvl w:val="0"/>
          <w:numId w:val="1001"/>
        </w:numPr>
        <w:pStyle w:val="Compact"/>
      </w:pPr>
      <w:r>
        <w:rPr>
          <w:bCs/>
          <w:b/>
        </w:rPr>
        <w:t xml:space="preserve">Revenue Impact:</w:t>
      </w:r>
      <w:r>
        <w:t xml:space="preserve"> </w:t>
      </w:r>
      <w:r>
        <w:t xml:space="preserve">Generated €1,852,400 in recruitment services revenue, with a 35% increase in repeat clients from Amsterdam universities (including all major institutions).</w:t>
      </w:r>
    </w:p>
    <w:p>
      <w:pPr>
        <w:pStyle w:val="FirstParagraph"/>
      </w:pPr>
      <w:r>
        <w:t xml:space="preserve">A particularly successful initiative was our "Amsterdam Academic Talent Pipeline" program. By partnering with Erasmus University Rotterdam and TU Delft to co-host joint lecturer training workshops in Netherlands Amsterdam, we facilitated 27 cross-institutional appointments – a first in Dutch academic recruitment history. This strategic move directly supported the region's goal of creating an integrated knowledge economy network.</w:t>
      </w:r>
    </w:p>
    <w:bookmarkEnd w:id="22"/>
    <w:bookmarkStart w:id="23" w:name="X0d396f704b2bd49e577868b42fde30f3063593c"/>
    <w:p>
      <w:pPr>
        <w:pStyle w:val="Heading2"/>
      </w:pPr>
      <w:r>
        <w:t xml:space="preserve">IV. Netherlands Amsterdam-Specific Challenges &amp; Solutions</w:t>
      </w:r>
    </w:p>
    <w:p>
      <w:pPr>
        <w:pStyle w:val="FirstParagraph"/>
      </w:pPr>
      <w:r>
        <w:t xml:space="preserve">Our Sales Report identifies unique barriers to University Lecturer recruitment in Netherlands Amsterdam:</w:t>
      </w:r>
    </w:p>
    <w:p>
      <w:pPr>
        <w:numPr>
          <w:ilvl w:val="0"/>
          <w:numId w:val="1002"/>
        </w:numPr>
        <w:pStyle w:val="Compact"/>
      </w:pPr>
      <w:r>
        <w:rPr>
          <w:bCs/>
          <w:b/>
        </w:rPr>
        <w:t xml:space="preserve">Competition for International Talent:</w:t>
      </w:r>
      <w:r>
        <w:t xml:space="preserve"> </w:t>
      </w:r>
      <w:r>
        <w:t xml:space="preserve">With 78% of Amsterdam's academic positions targeting global candidates, we developed a specialized "Dutch Academic Integration" package including accelerated Dutch language coaching and visa support – reducing candidate onboarding time by 41%.</w:t>
      </w:r>
    </w:p>
    <w:p>
      <w:pPr>
        <w:numPr>
          <w:ilvl w:val="0"/>
          <w:numId w:val="1002"/>
        </w:numPr>
        <w:pStyle w:val="Compact"/>
      </w:pPr>
      <w:r>
        <w:rPr>
          <w:bCs/>
          <w:b/>
        </w:rPr>
        <w:t xml:space="preserve">Research-Teaching Balance:</w:t>
      </w:r>
      <w:r>
        <w:t xml:space="preserve"> </w:t>
      </w:r>
      <w:r>
        <w:t xml:space="preserve">Universities require lecturers who excel in both pedagogy and grant acquisition. Our Sales Report reveals we now incorporate "Research Impact Metrics" into candidate screening, resulting in a 33% increase in lecturer-led research funding secured within six months of appointment.</w:t>
      </w:r>
    </w:p>
    <w:p>
      <w:pPr>
        <w:numPr>
          <w:ilvl w:val="0"/>
          <w:numId w:val="1002"/>
        </w:numPr>
        <w:pStyle w:val="Compact"/>
      </w:pPr>
      <w:r>
        <w:rPr>
          <w:bCs/>
          <w:b/>
        </w:rPr>
        <w:t xml:space="preserve">Work-Life Integration Demands:</w:t>
      </w:r>
      <w:r>
        <w:t xml:space="preserve"> </w:t>
      </w:r>
      <w:r>
        <w:t xml:space="preserve">Amsterdam-based academics prioritize flexible models. We implemented a "Hybrid Teaching Certification" program for candidates, leading to 62% of placements featuring adjusted workloads – a key retention driver in the Netherlands Amsterdam market.</w:t>
      </w:r>
    </w:p>
    <w:bookmarkEnd w:id="23"/>
    <w:bookmarkStart w:id="24" w:name="X81556f473188d9b238a286cb489bd8fdc56c891"/>
    <w:p>
      <w:pPr>
        <w:pStyle w:val="Heading2"/>
      </w:pPr>
      <w:r>
        <w:t xml:space="preserve">V. Strategic Recommendations for Next Year</w:t>
      </w:r>
    </w:p>
    <w:p>
      <w:pPr>
        <w:pStyle w:val="FirstParagraph"/>
      </w:pPr>
      <w:r>
        <w:t xml:space="preserve">Based on this year's Sales Report, we propose three priority initiatives to strengthen University Lecturer recruitment in Netherlands Amsterdam:</w:t>
      </w:r>
    </w:p>
    <w:p>
      <w:pPr>
        <w:numPr>
          <w:ilvl w:val="0"/>
          <w:numId w:val="1003"/>
        </w:numPr>
        <w:pStyle w:val="Compact"/>
      </w:pPr>
      <w:r>
        <w:rPr>
          <w:bCs/>
          <w:b/>
        </w:rPr>
        <w:t xml:space="preserve">Netherlands Amsterdam Academic Talent Accelerator:</w:t>
      </w:r>
      <w:r>
        <w:t xml:space="preserve"> </w:t>
      </w:r>
      <w:r>
        <w:t xml:space="preserve">Establish a dedicated talent hub in the Amsterdam Science Park with permanent staff to pre-vet candidates for all major universities. This will reduce time-to-hire from 12 to 7 weeks – critical for filling Spring Semester positions.</w:t>
      </w:r>
    </w:p>
    <w:p>
      <w:pPr>
        <w:numPr>
          <w:ilvl w:val="0"/>
          <w:numId w:val="1003"/>
        </w:numPr>
        <w:pStyle w:val="Compact"/>
      </w:pPr>
      <w:r>
        <w:rPr>
          <w:bCs/>
          <w:b/>
        </w:rPr>
        <w:t xml:space="preserve">ESG-Integrated Lecturer Profiles:</w:t>
      </w:r>
      <w:r>
        <w:t xml:space="preserve"> </w:t>
      </w:r>
      <w:r>
        <w:t xml:space="preserve">Develop new competency frameworks linking University Lecturer roles to Amsterdam's Climate Neutrality Strategy (2030). Candidates with sustainability-focused curricula will receive premium placement consideration at AUAS and VU.</w:t>
      </w:r>
    </w:p>
    <w:p>
      <w:pPr>
        <w:numPr>
          <w:ilvl w:val="0"/>
          <w:numId w:val="1003"/>
        </w:numPr>
        <w:pStyle w:val="Compact"/>
      </w:pPr>
      <w:r>
        <w:rPr>
          <w:bCs/>
          <w:b/>
        </w:rPr>
        <w:t xml:space="preserve">Premium Retention Package:</w:t>
      </w:r>
      <w:r>
        <w:t xml:space="preserve"> </w:t>
      </w:r>
      <w:r>
        <w:t xml:space="preserve">Create a "Amsterdam Academic Continuity Program" offering 12 months of free access to Amsterdam's university digital resources (including online learning platforms) – projected to increase lecturer retention by 25%.</w:t>
      </w:r>
    </w:p>
    <w:bookmarkEnd w:id="24"/>
    <w:bookmarkStart w:id="25" w:name="vi.-conclusion"/>
    <w:p>
      <w:pPr>
        <w:pStyle w:val="Heading2"/>
      </w:pPr>
      <w:r>
        <w:t xml:space="preserve">VI. Conclusion</w:t>
      </w:r>
    </w:p>
    <w:p>
      <w:pPr>
        <w:pStyle w:val="FirstParagraph"/>
      </w:pPr>
      <w:r>
        <w:t xml:space="preserve">This Sales Report affirms that our specialized approach to University Lecturer recruitment has become central to Netherlands Amsterdam's academic success story. The region's unique blend of global connectivity, research excellence, and cultural dynamism demands recruitment solutions beyond standard HR practices – a space where our firm has established itself as the market leader.</w:t>
      </w:r>
    </w:p>
    <w:p>
      <w:pPr>
        <w:pStyle w:val="BodyText"/>
      </w:pPr>
      <w:r>
        <w:t xml:space="preserve">As Amsterdam solidifies its position as Europe's top destination for higher education (ranking #3 globally in Times Higher Education 2023), the demand for strategic University Lecturer placements will only intensify. Our Sales Report demonstrates that by deeply understanding Netherlands Amsterdam's academic ecosystem – from Dutch pedagogical standards to city-level innovation goals – we deliver unparalleled value through every placement. We project a 30% growth in our Netherlands Amsterdam University Lecturer business in 2024, directly supporting the region's vision for knowledge-led prosperity.</w:t>
      </w:r>
    </w:p>
    <w:p>
      <w:pPr>
        <w:pStyle w:val="BodyText"/>
      </w:pPr>
      <w:r>
        <w:t xml:space="preserve">For institutions seeking to build future-ready academic teams, partnering with us represents not just a recruitment transaction – but an investment in Amsterdam's educational excellence. Our success metric is clear: when University Lecturers thrive in Netherlands Amsterdam, the entire ecosystem advances.</w:t>
      </w:r>
    </w:p>
    <w:bookmarkEnd w:id="25"/>
    <w:bookmarkStart w:id="26" w:name="vii.-appendix-key-metrics-snapshot"/>
    <w:p>
      <w:pPr>
        <w:pStyle w:val="Heading2"/>
      </w:pPr>
      <w:r>
        <w:t xml:space="preserve">VII. Appendix: Key Metrics Snapshot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2023 Result</w:t>
            </w:r>
          </w:p>
        </w:tc>
        <w:tc>
          <w:tcPr/>
          <w:p>
            <w:pPr>
              <w:pStyle w:val="Compact"/>
              <w:jc w:val="left"/>
            </w:pPr>
            <w:r>
              <w:t xml:space="preserve">Industry Benchmark</w:t>
            </w:r>
          </w:p>
        </w:tc>
      </w:tr>
      <w:tr>
        <w:tc>
          <w:tcPr/>
          <w:p>
            <w:pPr>
              <w:pStyle w:val="Compact"/>
              <w:jc w:val="left"/>
            </w:pPr>
            <w:r>
              <w:t xml:space="preserve">Average Placement Time (Days)</w:t>
            </w:r>
          </w:p>
        </w:tc>
        <w:tc>
          <w:tcPr/>
          <w:p>
            <w:pPr>
              <w:pStyle w:val="Compact"/>
              <w:jc w:val="left"/>
            </w:pPr>
            <w:r>
              <w:t xml:space="preserve">58 days</w:t>
            </w:r>
          </w:p>
        </w:tc>
        <w:tc>
          <w:tcPr/>
          <w:p>
            <w:pPr>
              <w:pStyle w:val="Compact"/>
              <w:jc w:val="left"/>
            </w:pPr>
            <w:r>
              <w:t xml:space="preserve">79 days</w:t>
            </w:r>
          </w:p>
        </w:tc>
      </w:tr>
      <w:tr>
        <w:tc>
          <w:tcPr/>
          <w:p>
            <w:pPr>
              <w:pStyle w:val="Compact"/>
              <w:jc w:val="left"/>
            </w:pPr>
            <w:r>
              <w:t xml:space="preserve">Lecturer Retention Rate (12mo)</w:t>
            </w:r>
          </w:p>
        </w:tc>
        <w:tc>
          <w:tcPr/>
          <w:p>
            <w:pPr>
              <w:pStyle w:val="Compact"/>
              <w:jc w:val="left"/>
            </w:pPr>
            <w:r>
              <w:t xml:space="preserve">87%</w:t>
            </w:r>
          </w:p>
        </w:tc>
        <w:tc>
          <w:tcPr/>
          <w:p>
            <w:pPr>
              <w:pStyle w:val="Compact"/>
              <w:jc w:val="left"/>
            </w:pPr>
            <w:r>
              <w:t xml:space="preserve">76%</w:t>
            </w:r>
          </w:p>
        </w:tc>
      </w:tr>
      <w:tr>
        <w:tc>
          <w:tcPr/>
          <w:p>
            <w:pPr>
              <w:pStyle w:val="Compact"/>
              <w:jc w:val="left"/>
            </w:pPr>
            <w:r>
              <w:t xml:space="preserve">Candidate Satisfaction (NPS)</w:t>
            </w:r>
          </w:p>
        </w:tc>
        <w:tc>
          <w:tcPr/>
          <w:p>
            <w:pPr>
              <w:pStyle w:val="Compact"/>
              <w:jc w:val="left"/>
            </w:pPr>
            <w:r>
              <w:t xml:space="preserve">84</w:t>
            </w:r>
          </w:p>
        </w:tc>
        <w:tc>
          <w:tcPr/>
          <w:p>
            <w:pPr>
              <w:pStyle w:val="Compact"/>
              <w:jc w:val="left"/>
            </w:pPr>
            <w:r>
              <w:t xml:space="preserve">62</w:t>
            </w:r>
          </w:p>
        </w:tc>
      </w:tr>
      <w:tr>
        <w:tc>
          <w:tcPr/>
          <w:p>
            <w:pPr>
              <w:pStyle w:val="Compact"/>
              <w:jc w:val="left"/>
            </w:pPr>
            <w:r>
              <w:t xml:space="preserve">Total Revenue from Netherlands Amsterdam Universities</w:t>
            </w:r>
          </w:p>
        </w:tc>
        <w:tc>
          <w:tcPr/>
          <w:p>
            <w:pPr>
              <w:pStyle w:val="Compact"/>
              <w:jc w:val="left"/>
            </w:pPr>
            <w:r>
              <w:t xml:space="preserve">€1,852,400</w:t>
            </w:r>
          </w:p>
        </w:tc>
        <w:tc>
          <w:tcPr/>
          <w:p>
            <w:pPr>
              <w:pStyle w:val="Compact"/>
            </w:pPr>
          </w:p>
        </w:tc>
      </w:tr>
    </w:tbl>
    <w:p>
      <w:pPr>
        <w:pStyle w:val="BodyText"/>
      </w:pPr>
      <w:r>
        <w:rPr>
          <w:iCs/>
          <w:i/>
        </w:rPr>
        <w:t xml:space="preserve">Prepared by: Academic Talent Solutions Group | Contact: amsterdam.recruitment@atsgroup.eu | www.atsgroup.eu/netherlands-amsterdam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Recruitment in Netherlands Amsterdam</dc:title>
  <dc:creator/>
  <dc:language>en</dc:language>
  <cp:keywords/>
  <dcterms:created xsi:type="dcterms:W3CDTF">2026-07-21T14:10:37Z</dcterms:created>
  <dcterms:modified xsi:type="dcterms:W3CDTF">2026-07-21T14:10:37Z</dcterms:modified>
</cp:coreProperties>
</file>

<file path=docProps/custom.xml><?xml version="1.0" encoding="utf-8"?>
<Properties xmlns="http://schemas.openxmlformats.org/officeDocument/2006/custom-properties" xmlns:vt="http://schemas.openxmlformats.org/officeDocument/2006/docPropsVTypes"/>
</file>