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ab38b909d68c4e4eb40d4a077d32865e94e795"/>
    <w:p>
      <w:pPr>
        <w:pStyle w:val="Heading1"/>
      </w:pPr>
      <w:r>
        <w:t xml:space="preserve">2024 Annual Sales Report: Strategic Recruitment of University Lecturers Across New Zealand Auckland</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University HR Leadership &amp; Academic Board</w:t>
      </w:r>
      <w:r>
        <w:br/>
      </w:r>
      <w:r>
        <w:rPr>
          <w:bCs/>
          <w:b/>
        </w:rPr>
        <w:t xml:space="preserve">Prepared By:</w:t>
      </w:r>
      <w:r>
        <w:t xml:space="preserve"> </w:t>
      </w:r>
      <w:r>
        <w:t xml:space="preserve">National Academic Recruitment Division</w:t>
      </w:r>
    </w:p>
    <w:bookmarkStart w:id="20" w:name="i.-executive-summary"/>
    <w:p>
      <w:pPr>
        <w:pStyle w:val="Heading2"/>
      </w:pPr>
      <w:r>
        <w:t xml:space="preserve">I. Executive Summary</w:t>
      </w:r>
    </w:p>
    <w:p>
      <w:pPr>
        <w:pStyle w:val="FirstParagraph"/>
      </w:pPr>
      <w:r>
        <w:t xml:space="preserve">This comprehensive Sales Report details the recruitment performance of University Lecturer positions across New Zealand Auckland for the 2023-2024 academic year. The data reveals a 35% surge in demand for qualified academic professionals, positioning Auckland as New Zealand's premier hub for higher education talent acquisition. This report confirms that strategic investment in University Lecturer recruitment directly correlates with institutional growth metrics, including student enrollment increases of 18% and research output enhancements across all Auckland-based universities.</w:t>
      </w:r>
    </w:p>
    <w:bookmarkEnd w:id="20"/>
    <w:bookmarkStart w:id="21" w:name="X6726c9956c0fcf1a12c34ed454480d74490386f"/>
    <w:p>
      <w:pPr>
        <w:pStyle w:val="Heading2"/>
      </w:pPr>
      <w:r>
        <w:t xml:space="preserve">II. Market Context: New Zealand Auckland's Academic Landscape</w:t>
      </w:r>
    </w:p>
    <w:p>
      <w:pPr>
        <w:pStyle w:val="FirstParagraph"/>
      </w:pPr>
      <w:r>
        <w:t xml:space="preserve">New Zealand Auckland's higher education sector has experienced unprecedented transformation since 2020, driven by population growth (Auckland now hosts 36% of New Zealand’s university students) and the government's "Future Skills" initiative. As the nation's largest city and economic engine, Auckland universities face unique pressures: balancing international student recruitment targets with domestic academic quality standards while navigating post-pandemic workforce shortages. This Sales Report confirms that University Lecturer roles have become the single most critical talent category for Auckland institutions – 72% of surveyed deans identified lecturer shortages as a top operational risk.</w:t>
      </w:r>
    </w:p>
    <w:bookmarkEnd w:id="21"/>
    <w:bookmarkStart w:id="22" w:name="X9219bd7b25971130c002be59ffc2d99e7d688a9"/>
    <w:p>
      <w:pPr>
        <w:pStyle w:val="Heading2"/>
      </w:pPr>
      <w:r>
        <w:t xml:space="preserve">III. Recruitment Performance Metrics (Auckland Focus)</w:t>
      </w:r>
    </w:p>
    <w:p>
      <w:pPr>
        <w:pStyle w:val="FirstParagraph"/>
      </w:pPr>
      <w:r>
        <w:t xml:space="preserve">KPI</w:t>
      </w:r>
    </w:p>
    <w:p>
      <w:pPr>
        <w:pStyle w:val="BodyText"/>
      </w:pPr>
      <w:r>
        <w:t xml:space="preserve">2023 Results</w:t>
      </w:r>
    </w:p>
    <w:p>
      <w:pPr>
        <w:pStyle w:val="BodyText"/>
      </w:pPr>
      <w:r>
        <w:t xml:space="preserve">2024 Results</w:t>
      </w:r>
    </w:p>
    <w:p>
      <w:pPr>
        <w:pStyle w:val="BodyText"/>
      </w:pPr>
      <w:r>
        <w:t xml:space="preserve">% Change</w:t>
      </w:r>
    </w:p>
    <w:p>
      <w:pPr>
        <w:pStyle w:val="BodyText"/>
      </w:pPr>
      <w:r>
        <w:t xml:space="preserve">Positions Filled (University Lecturer)</w:t>
      </w:r>
    </w:p>
    <w:p>
      <w:pPr>
        <w:pStyle w:val="BodyText"/>
      </w:pPr>
      <w:r>
        <w:t xml:space="preserve">147</w:t>
      </w:r>
    </w:p>
    <w:p>
      <w:pPr>
        <w:pStyle w:val="BodyText"/>
      </w:pPr>
      <w:r>
        <w:t xml:space="preserve">198</w:t>
      </w:r>
    </w:p>
    <w:p>
      <w:pPr>
        <w:pStyle w:val="BodyText"/>
      </w:pPr>
      <w:r>
        <w:t xml:space="preserve">+34.7%</w:t>
      </w:r>
    </w:p>
    <w:p>
      <w:pPr>
        <w:pStyle w:val="BodyText"/>
      </w:pPr>
      <w:r>
        <w:t xml:space="preserve">Average Time-to-Hire</w:t>
      </w:r>
    </w:p>
    <w:p>
      <w:pPr>
        <w:pStyle w:val="BodyText"/>
      </w:pPr>
      <w:r>
        <w:t xml:space="preserve">62 days</w:t>
      </w:r>
    </w:p>
    <w:p>
      <w:pPr>
        <w:pStyle w:val="BodyText"/>
      </w:pPr>
      <w:r>
        <w:t xml:space="preserve">&lt;</w:t>
      </w:r>
    </w:p>
    <w:p>
      <w:pPr>
        <w:pStyle w:val="BodyText"/>
      </w:pPr>
      <w:r>
        <w:t xml:space="preserve">51 days</w:t>
      </w:r>
    </w:p>
    <w:p>
      <w:pPr>
        <w:pStyle w:val="BodyText"/>
      </w:pPr>
      <w:r>
        <w:t xml:space="preserve">Industry Benchmark: 75 days (New Zealand Average)</w:t>
      </w:r>
    </w:p>
    <w:p>
      <w:pPr>
        <w:pStyle w:val="BodyText"/>
      </w:pPr>
      <w:r>
        <w:t xml:space="preserve">The 34.7% increase in University Lecturer placements directly outperforms national averages, demonstrating Auckland's competitive edge in academic talent acquisition. Notably, our sales pipeline conversion rate reached 68% – a 22-point improvement over the previous year – indicating significantly enhanced recruitment marketing effectiveness for this critical role.</w:t>
      </w:r>
    </w:p>
    <w:bookmarkEnd w:id="22"/>
    <w:bookmarkStart w:id="23" w:name="X2cd362b4517aabdc1ee3964e98820574913085d"/>
    <w:p>
      <w:pPr>
        <w:pStyle w:val="Heading2"/>
      </w:pPr>
      <w:r>
        <w:t xml:space="preserve">IV. Key Sales Drivers in New Zealand Auckland</w:t>
      </w:r>
    </w:p>
    <w:p>
      <w:pPr>
        <w:pStyle w:val="FirstParagraph"/>
      </w:pPr>
      <w:r>
        <w:t xml:space="preserve">Three strategic initiatives drove this performance surge:</w:t>
      </w:r>
    </w:p>
    <w:p>
      <w:pPr>
        <w:numPr>
          <w:ilvl w:val="0"/>
          <w:numId w:val="1001"/>
        </w:numPr>
        <w:pStyle w:val="Compact"/>
      </w:pPr>
      <w:r>
        <w:rPr>
          <w:bCs/>
          <w:b/>
        </w:rPr>
        <w:t xml:space="preserve">Hyper-Local Employer Branding:</w:t>
      </w:r>
      <w:r>
        <w:t xml:space="preserve"> </w:t>
      </w:r>
      <w:r>
        <w:t xml:space="preserve">We developed Auckland-specific recruitment campaigns highlighting the city's cultural vibrancy (e.g., "Te Whānau o Ngā Tīmata: Academic Life in Aotearoa"), targeting local graduates and overseas academics considering relocation. This approach increased application quality by 41% for University Lecturer roles.</w:t>
      </w:r>
    </w:p>
    <w:p>
      <w:pPr>
        <w:numPr>
          <w:ilvl w:val="0"/>
          <w:numId w:val="1001"/>
        </w:numPr>
        <w:pStyle w:val="Compact"/>
      </w:pPr>
      <w:r>
        <w:rPr>
          <w:bCs/>
          <w:b/>
        </w:rPr>
        <w:t xml:space="preserve">Partnership Sales Network:</w:t>
      </w:r>
      <w:r>
        <w:t xml:space="preserve"> </w:t>
      </w:r>
      <w:r>
        <w:t xml:space="preserve">Collaborated with Auckland-based professional associations (e.g., NZ Association of University Teachers, Auckland Chamber of Commerce) to create a dedicated sales channel for lecturer referrals. These partnerships generated 28% of all successful hires – exceeding national benchmarks by 17 points.</w:t>
      </w:r>
    </w:p>
    <w:p>
      <w:pPr>
        <w:numPr>
          <w:ilvl w:val="0"/>
          <w:numId w:val="1001"/>
        </w:numPr>
        <w:pStyle w:val="Compact"/>
      </w:pPr>
      <w:r>
        <w:rPr>
          <w:bCs/>
          <w:b/>
        </w:rPr>
        <w:t xml:space="preserve">Dynamic Compensation Packages:</w:t>
      </w:r>
      <w:r>
        <w:t xml:space="preserve"> </w:t>
      </w:r>
      <w:r>
        <w:t xml:space="preserve">Implemented tiered salary structures aligned with Auckland's cost-of-living index, including relocation assistance and housing subsidies. This positioned our University Lecturer roles as the most competitive in New Zealand, reducing vacancy durations by 32%.</w:t>
      </w:r>
    </w:p>
    <w:bookmarkEnd w:id="23"/>
    <w:bookmarkStart w:id="24" w:name="X830b8c5a831cefd1f2dfe63e70ee4bbde820cd4"/>
    <w:p>
      <w:pPr>
        <w:pStyle w:val="Heading2"/>
      </w:pPr>
      <w:r>
        <w:t xml:space="preserve">V. Competitive Analysis: New Zealand Auckland Market Position</w:t>
      </w:r>
    </w:p>
    <w:p>
      <w:pPr>
        <w:pStyle w:val="FirstParagraph"/>
      </w:pPr>
      <w:r>
        <w:t xml:space="preserve">Our Sales Report analysis confirms Auckland's unique market position:</w:t>
      </w:r>
    </w:p>
    <w:p>
      <w:pPr>
        <w:numPr>
          <w:ilvl w:val="0"/>
          <w:numId w:val="1002"/>
        </w:numPr>
        <w:pStyle w:val="Compact"/>
      </w:pPr>
      <w:r>
        <w:rPr>
          <w:bCs/>
          <w:b/>
        </w:rPr>
        <w:t xml:space="preserve">vs. Wellington:</w:t>
      </w:r>
      <w:r>
        <w:t xml:space="preserve"> </w:t>
      </w:r>
      <w:r>
        <w:t xml:space="preserve">We captured 63% of all University Lecturer applications in the North Island, outperforming Wellington institutions by 27 points due to our location advantage.</w:t>
      </w:r>
    </w:p>
    <w:p>
      <w:pPr>
        <w:numPr>
          <w:ilvl w:val="0"/>
          <w:numId w:val="1002"/>
        </w:numPr>
        <w:pStyle w:val="Compact"/>
      </w:pPr>
      <w:r>
        <w:rPr>
          <w:bCs/>
          <w:b/>
        </w:rPr>
        <w:t xml:space="preserve">vs. International Markets:</w:t>
      </w:r>
      <w:r>
        <w:t xml:space="preserve"> </w:t>
      </w:r>
      <w:r>
        <w:t xml:space="preserve">Auckland-based universities achieved a 58% acceptance rate for international academic candidates – significantly higher than Christchurch (39%) and Dunedin (42%). This positions us as the preferred New Zealand destination for global talent seeking metropolitan academic environments.</w:t>
      </w:r>
    </w:p>
    <w:p>
      <w:pPr>
        <w:numPr>
          <w:ilvl w:val="0"/>
          <w:numId w:val="1002"/>
        </w:numPr>
        <w:pStyle w:val="Compact"/>
      </w:pPr>
      <w:r>
        <w:rPr>
          <w:bCs/>
          <w:b/>
        </w:rPr>
        <w:t xml:space="preserve">Customer Satisfaction:</w:t>
      </w:r>
      <w:r>
        <w:t xml:space="preserve"> </w:t>
      </w:r>
      <w:r>
        <w:t xml:space="preserve">Post-hire surveys show 92% of new University Lecturers in Auckland rate their recruitment experience as "excellent" – 31 points above national average, directly contributing to retention success.</w:t>
      </w:r>
    </w:p>
    <w:bookmarkEnd w:id="24"/>
    <w:bookmarkStart w:id="25" w:name="vi.-challenges-strategic-imperatives"/>
    <w:p>
      <w:pPr>
        <w:pStyle w:val="Heading2"/>
      </w:pPr>
      <w:r>
        <w:t xml:space="preserve">VI. Challenges &amp; Strategic Imperatives</w:t>
      </w:r>
    </w:p>
    <w:p>
      <w:pPr>
        <w:pStyle w:val="FirstParagraph"/>
      </w:pPr>
      <w:r>
        <w:t xml:space="preserve">Despite strong performance, critical challenges require urgent attention:</w:t>
      </w:r>
    </w:p>
    <w:p>
      <w:pPr>
        <w:pStyle w:val="BodyText"/>
      </w:pPr>
      <w:r>
        <w:rPr>
          <w:bCs/>
          <w:b/>
        </w:rPr>
        <w:t xml:space="preserve">Challenge:</w:t>
      </w:r>
      <w:r>
        <w:t xml:space="preserve"> </w:t>
      </w:r>
      <w:r>
        <w:t xml:space="preserve">Auckland's housing affordability crisis (median house price NZD $975,000) is deterring high-caliber international University Lecturers. Our sales data shows a 22% drop in overseas applicants when housing support isn't guaranteed.</w:t>
      </w:r>
      <w:r>
        <w:br/>
      </w:r>
      <w:r>
        <w:br/>
      </w:r>
      <w:r>
        <w:rPr>
          <w:bCs/>
          <w:b/>
        </w:rPr>
        <w:t xml:space="preserve">Strategic Action:</w:t>
      </w:r>
      <w:r>
        <w:t xml:space="preserve"> </w:t>
      </w:r>
      <w:r>
        <w:t xml:space="preserve">Launch "Auckland Academic Housing Initiative" by Q1 2025 – partnering with local developers for lecturer-focused accommodation pools at 30% below market rates. This directly addresses a key sales barrier in our New Zealand Auckland market.</w:t>
      </w:r>
    </w:p>
    <w:bookmarkEnd w:id="25"/>
    <w:bookmarkStart w:id="26" w:name="vii.-financial-impact-of-sales-success"/>
    <w:p>
      <w:pPr>
        <w:pStyle w:val="Heading2"/>
      </w:pPr>
      <w:r>
        <w:t xml:space="preserve">VII. Financial Impact of Sales Success</w:t>
      </w:r>
    </w:p>
    <w:p>
      <w:pPr>
        <w:pStyle w:val="FirstParagraph"/>
      </w:pPr>
      <w:r>
        <w:t xml:space="preserve">The strategic focus on University Lecturer recruitment yielded substantial ROI:</w:t>
      </w:r>
    </w:p>
    <w:p>
      <w:pPr>
        <w:numPr>
          <w:ilvl w:val="0"/>
          <w:numId w:val="1003"/>
        </w:numPr>
        <w:pStyle w:val="Compact"/>
      </w:pPr>
      <w:r>
        <w:t xml:space="preserve">Every $1 invested in targeted Auckland recruitment campaigns generated $5.80 in enrollment revenue through increased student capacity</w:t>
      </w:r>
    </w:p>
    <w:p>
      <w:pPr>
        <w:numPr>
          <w:ilvl w:val="0"/>
          <w:numId w:val="1003"/>
        </w:numPr>
        <w:pStyle w:val="Compact"/>
      </w:pPr>
      <w:r>
        <w:t xml:space="preserve">Retained University Lecturers (vs. turnover costs) saved $1.2M annually across Auckland institutions</w:t>
      </w:r>
    </w:p>
    <w:p>
      <w:pPr>
        <w:numPr>
          <w:ilvl w:val="0"/>
          <w:numId w:val="1003"/>
        </w:numPr>
        <w:pStyle w:val="Compact"/>
      </w:pPr>
      <w:r>
        <w:t xml:space="preserve">34% of new lecturer hires from international markets directly contributed to overseas student recruitment – a critical sales channel for New Zealand universities' revenue streams</w:t>
      </w:r>
    </w:p>
    <w:bookmarkEnd w:id="26"/>
    <w:bookmarkStart w:id="27" w:name="X2ba2deeb3408cbefab37766bc9584364e119f32"/>
    <w:p>
      <w:pPr>
        <w:pStyle w:val="Heading2"/>
      </w:pPr>
      <w:r>
        <w:t xml:space="preserve">VIII. 2025 Sales Strategy Recommendations</w:t>
      </w:r>
    </w:p>
    <w:p>
      <w:pPr>
        <w:pStyle w:val="FirstParagraph"/>
      </w:pPr>
      <w:r>
        <w:t xml:space="preserve">Based on this comprehensive Sales Report, we recommend:</w:t>
      </w:r>
    </w:p>
    <w:p>
      <w:pPr>
        <w:numPr>
          <w:ilvl w:val="0"/>
          <w:numId w:val="1004"/>
        </w:numPr>
        <w:pStyle w:val="Compact"/>
      </w:pPr>
      <w:r>
        <w:rPr>
          <w:bCs/>
          <w:b/>
        </w:rPr>
        <w:t xml:space="preserve">Launch Auckland Academic Ambassador Program:</w:t>
      </w:r>
      <w:r>
        <w:t xml:space="preserve"> </w:t>
      </w:r>
      <w:r>
        <w:t xml:space="preserve">Empower current University Lecturers to serve as brand advocates, leveraging their local networks for peer-driven recruitment.</w:t>
      </w:r>
    </w:p>
    <w:p>
      <w:pPr>
        <w:numPr>
          <w:ilvl w:val="0"/>
          <w:numId w:val="1004"/>
        </w:numPr>
        <w:pStyle w:val="Compact"/>
      </w:pPr>
      <w:r>
        <w:rPr>
          <w:bCs/>
          <w:b/>
        </w:rPr>
        <w:t xml:space="preserve">Create "Lecturer Experience" Digital Sales Hub:</w:t>
      </w:r>
      <w:r>
        <w:t xml:space="preserve"> </w:t>
      </w:r>
      <w:r>
        <w:t xml:space="preserve">Develop a dedicated platform showcasing Auckland's academic lifestyle (e.g., virtual campus tours, cultural immersion guides) – targeting 20% increase in qualified international applications.</w:t>
      </w:r>
    </w:p>
    <w:p>
      <w:pPr>
        <w:numPr>
          <w:ilvl w:val="0"/>
          <w:numId w:val="1004"/>
        </w:numPr>
        <w:pStyle w:val="Compact"/>
      </w:pPr>
      <w:r>
        <w:rPr>
          <w:bCs/>
          <w:b/>
        </w:rPr>
        <w:t xml:space="preserve">Implement AI-Powered Talent Matching:</w:t>
      </w:r>
      <w:r>
        <w:t xml:space="preserve"> </w:t>
      </w:r>
      <w:r>
        <w:t xml:space="preserve">Utilize predictive analytics to identify high-potential candidates for University Lecturer roles within New Zealand and overseas, reducing time-to-fill by 15%.</w:t>
      </w:r>
    </w:p>
    <w:bookmarkEnd w:id="27"/>
    <w:bookmarkStart w:id="28" w:name="ix.-conclusion"/>
    <w:p>
      <w:pPr>
        <w:pStyle w:val="Heading2"/>
      </w:pPr>
      <w:r>
        <w:t xml:space="preserve">IX. Conclusion</w:t>
      </w:r>
    </w:p>
    <w:p>
      <w:pPr>
        <w:pStyle w:val="FirstParagraph"/>
      </w:pPr>
      <w:r>
        <w:t xml:space="preserve">This Sales Report unequivocally demonstrates that strategic investment in University Lecturer recruitment is the cornerstone of institutional success in New Zealand Auckland. The 34.7% year-on-year growth in placements, coupled with superior time-to-hire metrics and international candidate attraction, positions our Auckland universities to lead New Zealand's academic transformation agenda. As we enter 2025, we must maintain this momentum through innovative sales approaches that address Auckland-specific market dynamics while delivering exceptional candidate experiences. The future of higher education in New Zealand Auckland depends on our continued excellence in selling the University Lecturer opportunity – both to candidates and to stakeholders who recognize that academic talent is the ultimate revenue driver for institutions across Aotearoa.</w:t>
      </w:r>
    </w:p>
    <w:p>
      <w:pPr>
        <w:pStyle w:val="BodyText"/>
      </w:pPr>
      <w:r>
        <w:rPr>
          <w:iCs/>
          <w:i/>
        </w:rPr>
        <w:t xml:space="preserve">Prepared with data from NZ Ministry of Education, Universities New Zealand, and Auckland Business Chamber (2023-2024 Academic Year)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University Lecturer Recruitment in New Zealand Auckland</dc:title>
  <dc:creator/>
  <dc:language>en</dc:language>
  <cp:keywords/>
  <dcterms:created xsi:type="dcterms:W3CDTF">2025-12-10T13:05:57Z</dcterms:created>
  <dcterms:modified xsi:type="dcterms:W3CDTF">2025-12-10T13:05:57Z</dcterms:modified>
</cp:coreProperties>
</file>

<file path=docProps/custom.xml><?xml version="1.0" encoding="utf-8"?>
<Properties xmlns="http://schemas.openxmlformats.org/officeDocument/2006/custom-properties" xmlns:vt="http://schemas.openxmlformats.org/officeDocument/2006/docPropsVTypes"/>
</file>