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5d201b397f9d23f7ba77a4f93d898eecae71083"/>
    <w:p>
      <w:pPr>
        <w:pStyle w:val="Heading1"/>
      </w:pPr>
      <w:r>
        <w:t xml:space="preserve">Sales Report: University Lecturer Performance in New Zealand Wellington</w:t>
      </w:r>
    </w:p>
    <w:bookmarkStart w:id="28" w:name="Xc3a48fdbe40376d34ad9c917752475bb9e835bf"/>
    <w:p>
      <w:pPr>
        <w:pStyle w:val="Heading2"/>
      </w:pPr>
      <w:r>
        <w:t xml:space="preserve">Prepared For: Victoria University of Wellington Leadership Team</w:t>
      </w:r>
    </w:p>
    <w:p>
      <w:pPr>
        <w:pStyle w:val="FirstParagraph"/>
      </w:pPr>
      <w:r>
        <w:t xml:space="preserve">Date: October 26, 2023 | Report Period: July 1 - September 30, 2023</w:t>
      </w:r>
    </w:p>
    <w:bookmarkStart w:id="20" w:name="executive-summary"/>
    <w:p>
      <w:pPr>
        <w:pStyle w:val="Heading3"/>
      </w:pPr>
      <w:r>
        <w:t xml:space="preserve">Executive Summary</w:t>
      </w:r>
    </w:p>
    <w:p>
      <w:pPr>
        <w:pStyle w:val="FirstParagraph"/>
      </w:pPr>
      <w:r>
        <w:t xml:space="preserve">This Sales Report details the professional performance metrics of Dr. Eleanor Shaw, a Senior University Lecturer within Victoria University of Wellington's School of Business and Economics. The report quantifies her contributions to strategic revenue generation through academic program sales, industry partnerships, and professional development workshops—all executed with exceptional alignment to New Zealand's educational priorities and Wellington's unique economic landscape. Over the reporting period, Dr. Shaw exceeded all sales targets by 23%, generating $187,000 in new revenue directly attributable to her lecturer-led initiatives within Wellington's dynamic tertiary education sector.</w:t>
      </w:r>
    </w:p>
    <w:bookmarkEnd w:id="20"/>
    <w:bookmarkStart w:id="21" w:name="X9323c25a661ac42f7124653cbea44d6ac8eb648"/>
    <w:p>
      <w:pPr>
        <w:pStyle w:val="Heading3"/>
      </w:pPr>
      <w:r>
        <w:t xml:space="preserve">Strategic Context: Sales Performance in Wellington's Academic Ecosystem</w:t>
      </w:r>
    </w:p>
    <w:p>
      <w:pPr>
        <w:pStyle w:val="FirstParagraph"/>
      </w:pPr>
      <w:r>
        <w:t xml:space="preserve">New Zealand Wellington operates as a nexus of academic innovation with the nation's highest concentration of tertiary institutions per capita. As University Lecturer in Business Development, Dr. Shaw has strategically positioned herself within this ecosystem to drive measurable sales outcomes. Her primary revenue streams include:</w:t>
      </w:r>
    </w:p>
    <w:p>
      <w:pPr>
        <w:numPr>
          <w:ilvl w:val="0"/>
          <w:numId w:val="1001"/>
        </w:numPr>
        <w:pStyle w:val="Compact"/>
      </w:pPr>
      <w:r>
        <w:t xml:space="preserve">Executive Short Courses (e.g., "Digital Transformation for Wellington SMEs")</w:t>
      </w:r>
    </w:p>
    <w:p>
      <w:pPr>
        <w:numPr>
          <w:ilvl w:val="0"/>
          <w:numId w:val="1001"/>
        </w:numPr>
        <w:pStyle w:val="Compact"/>
      </w:pPr>
      <w:r>
        <w:t xml:space="preserve">Custom Industry Training Programs (e.g., "Sustainable Supply Chain Solutions" for Wellington Port Authority)</w:t>
      </w:r>
    </w:p>
    <w:p>
      <w:pPr>
        <w:numPr>
          <w:ilvl w:val="0"/>
          <w:numId w:val="1001"/>
        </w:numPr>
        <w:pStyle w:val="Compact"/>
      </w:pPr>
      <w:r>
        <w:t xml:space="preserve">Professional Certification Partnerships (with NZ Institute of Management)</w:t>
      </w:r>
    </w:p>
    <w:p>
      <w:pPr>
        <w:pStyle w:val="FirstParagraph"/>
      </w:pPr>
      <w:r>
        <w:t xml:space="preserve">Unlike traditional academic roles, Dr. Shaw's position explicitly integrates sales performance into her KPIs, reflecting Wellington's emphasis on practical industry-academia collaboration. This approach directly supports Victoria University's strategic goal of increasing non-tuition revenue by 15% annually.</w:t>
      </w:r>
    </w:p>
    <w:bookmarkEnd w:id="21"/>
    <w:bookmarkStart w:id="22" w:name="sales-performance-breakdown"/>
    <w:p>
      <w:pPr>
        <w:pStyle w:val="Heading3"/>
      </w:pPr>
      <w:r>
        <w:t xml:space="preserve">Sales Performance Breakdown</w:t>
      </w:r>
    </w:p>
    <w:p>
      <w:pPr>
        <w:pStyle w:val="FirstParagraph"/>
      </w:pPr>
      <w:r>
        <w:rPr>
          <w:bCs/>
          <w:b/>
        </w:rPr>
        <w:t xml:space="preserve">Target vs. Actual Revenue:</w:t>
      </w:r>
    </w:p>
    <w:p>
      <w:pPr>
        <w:pStyle w:val="BodyText"/>
      </w:pPr>
      <w:r>
        <w:t xml:space="preserve">Revenue Stream</w:t>
      </w:r>
    </w:p>
    <w:p>
      <w:pPr>
        <w:pStyle w:val="BodyText"/>
      </w:pPr>
      <w:r>
        <w:t xml:space="preserve">Target (NZD)</w:t>
      </w:r>
    </w:p>
    <w:p>
      <w:pPr>
        <w:pStyle w:val="BodyText"/>
      </w:pPr>
      <w:r>
        <w:t xml:space="preserve">Actual (NZD)</w:t>
      </w:r>
    </w:p>
    <w:p>
      <w:pPr>
        <w:pStyle w:val="BodyText"/>
      </w:pPr>
      <w:r>
        <w:t xml:space="preserve">Variance</w:t>
      </w:r>
    </w:p>
    <w:p>
      <w:pPr>
        <w:pStyle w:val="BodyText"/>
      </w:pPr>
      <w:r>
        <w:t xml:space="preserve">Executive Short Courses</w:t>
      </w:r>
    </w:p>
    <w:p>
      <w:pPr>
        <w:pStyle w:val="BodyText"/>
      </w:pPr>
      <w:r>
        <w:t xml:space="preserve">$65,000</w:t>
      </w:r>
    </w:p>
    <w:p>
      <w:pPr>
        <w:pStyle w:val="BodyText"/>
      </w:pPr>
      <w:r>
        <w:t xml:space="preserve">$82,500</w:t>
      </w:r>
    </w:p>
    <w:p>
      <w:pPr>
        <w:pStyle w:val="BodyText"/>
      </w:pPr>
      <w:r>
        <w:t xml:space="preserve">+27%</w:t>
      </w:r>
    </w:p>
    <w:p>
      <w:pPr>
        <w:pStyle w:val="BodyText"/>
      </w:pPr>
      <w:r>
        <w:t xml:space="preserve">Custom Corporate Training</w:t>
      </w:r>
    </w:p>
    <w:p>
      <w:pPr>
        <w:pStyle w:val="BodyText"/>
      </w:pPr>
      <w:r>
        <w:t xml:space="preserve">$75,000</w:t>
      </w:r>
    </w:p>
    <w:p>
      <w:pPr>
        <w:pStyle w:val="BodyText"/>
      </w:pPr>
      <w:r>
        <w:t xml:space="preserve">$98,300</w:t>
      </w:r>
    </w:p>
    <w:p>
      <w:pPr>
        <w:pStyle w:val="BodyText"/>
      </w:pPr>
      <w:r>
        <w:t xml:space="preserve">+31%</w:t>
      </w:r>
    </w:p>
    <w:p>
      <w:pPr>
        <w:pStyle w:val="BodyText"/>
      </w:pPr>
      <w:r>
        <w:t xml:space="preserve">Total Revenue</w:t>
      </w:r>
    </w:p>
    <w:p>
      <w:pPr>
        <w:pStyle w:val="BodyText"/>
      </w:pPr>
      <w:r>
        <w:rPr>
          <w:bCs/>
          <w:b/>
        </w:rPr>
        <w:t xml:space="preserve">$140,000</w:t>
      </w:r>
    </w:p>
    <w:p>
      <w:pPr>
        <w:pStyle w:val="BodyText"/>
      </w:pPr>
      <w:r>
        <w:rPr>
          <w:bCs/>
          <w:b/>
        </w:rPr>
        <w:t xml:space="preserve">$187,559</w:t>
      </w:r>
    </w:p>
    <w:p>
      <w:pPr>
        <w:pStyle w:val="BodyText"/>
      </w:pPr>
      <w:r>
        <w:rPr>
          <w:bCs/>
          <w:b/>
        </w:rPr>
        <w:t xml:space="preserve">+34%</w:t>
      </w:r>
    </w:p>
    <w:p>
      <w:pPr>
        <w:pStyle w:val="BodyText"/>
      </w:pPr>
      <w:r>
        <w:t xml:space="preserve">Key drivers of this success include:</w:t>
      </w:r>
    </w:p>
    <w:p>
      <w:pPr>
        <w:numPr>
          <w:ilvl w:val="0"/>
          <w:numId w:val="1002"/>
        </w:numPr>
        <w:pStyle w:val="Compact"/>
      </w:pPr>
      <w:r>
        <w:rPr>
          <w:iCs/>
          <w:i/>
        </w:rPr>
        <w:t xml:space="preserve">Wellington Market Intelligence:</w:t>
      </w:r>
      <w:r>
        <w:t xml:space="preserve"> </w:t>
      </w:r>
      <w:r>
        <w:t xml:space="preserve">Dr. Shaw's deep understanding of Wellington's business climate (notably the 12% annual growth in tech startups in the city) enabled targeted course development for emerging local industries.</w:t>
      </w:r>
    </w:p>
    <w:p>
      <w:pPr>
        <w:numPr>
          <w:ilvl w:val="0"/>
          <w:numId w:val="1002"/>
        </w:numPr>
        <w:pStyle w:val="Compact"/>
      </w:pPr>
      <w:r>
        <w:rPr>
          <w:iCs/>
          <w:i/>
        </w:rPr>
        <w:t xml:space="preserve">Industry Network Leverage:</w:t>
      </w:r>
      <w:r>
        <w:t xml:space="preserve"> </w:t>
      </w:r>
      <w:r>
        <w:t xml:space="preserve">Her existing relationships with 37 Wellington-based organizations (including Meridian Energy and The Warehouse Group) accelerated sales cycles by 40% compared to departmental averages.</w:t>
      </w:r>
    </w:p>
    <w:p>
      <w:pPr>
        <w:numPr>
          <w:ilvl w:val="0"/>
          <w:numId w:val="1002"/>
        </w:numPr>
        <w:pStyle w:val="Compact"/>
      </w:pPr>
      <w:r>
        <w:rPr>
          <w:iCs/>
          <w:i/>
        </w:rPr>
        <w:t xml:space="preserve">Program Differentiation:</w:t>
      </w:r>
      <w:r>
        <w:t xml:space="preserve"> </w:t>
      </w:r>
      <w:r>
        <w:t xml:space="preserve">Courses were co-designed with industry partners, ensuring immediate applicability to Wellington workplace challenges—e.g., "Wellington Climate Resilience Framework" for local government agencies.</w:t>
      </w:r>
    </w:p>
    <w:bookmarkEnd w:id="22"/>
    <w:bookmarkStart w:id="23" w:name="Xb38c198c5793021fe3df0b1d537754994366fa7"/>
    <w:p>
      <w:pPr>
        <w:pStyle w:val="Heading3"/>
      </w:pPr>
      <w:r>
        <w:t xml:space="preserve">Case Study: The Wellington Business Accelerator Program</w:t>
      </w:r>
    </w:p>
    <w:p>
      <w:pPr>
        <w:pStyle w:val="FirstParagraph"/>
      </w:pPr>
      <w:r>
        <w:t xml:space="preserve">The most significant sales achievement was the $98,300 contract with the Wellington City Council for a 6-month executive program. This initiative directly addressed the city's "Wellington Economic Development Strategy" priorities, specifically targeting skills gaps in sustainable urban development. Key milestones included:</w:t>
      </w:r>
    </w:p>
    <w:p>
      <w:pPr>
        <w:numPr>
          <w:ilvl w:val="0"/>
          <w:numId w:val="1003"/>
        </w:numPr>
        <w:pStyle w:val="Compact"/>
      </w:pPr>
      <w:r>
        <w:t xml:space="preserve">Secured 42 participants from 28 Wellington businesses (exceeding target by 19%)</w:t>
      </w:r>
    </w:p>
    <w:p>
      <w:pPr>
        <w:numPr>
          <w:ilvl w:val="0"/>
          <w:numId w:val="1003"/>
        </w:numPr>
        <w:pStyle w:val="Compact"/>
      </w:pPr>
      <w:r>
        <w:t xml:space="preserve">Integrated Victoria University's research on Wellington-specific urban challenges</w:t>
      </w:r>
    </w:p>
    <w:p>
      <w:pPr>
        <w:numPr>
          <w:ilvl w:val="0"/>
          <w:numId w:val="1003"/>
        </w:numPr>
        <w:pStyle w:val="Compact"/>
      </w:pPr>
      <w:r>
        <w:t xml:space="preserve">Generated $35,000 in additional revenue through follow-up certification services</w:t>
      </w:r>
    </w:p>
    <w:p>
      <w:pPr>
        <w:pStyle w:val="FirstParagraph"/>
      </w:pPr>
      <w:r>
        <w:t xml:space="preserve">This program exemplifies how a University Lecturer can drive sales by aligning academic expertise with New Zealand's regional development goals. The Council reported 89% participant satisfaction—significantly above the sector benchmark of 75%.</w:t>
      </w:r>
    </w:p>
    <w:bookmarkEnd w:id="23"/>
    <w:bookmarkStart w:id="24" w:name="X940b2e57f975bcd6ea8ba17d941aaf7fd93c689"/>
    <w:p>
      <w:pPr>
        <w:pStyle w:val="Heading3"/>
      </w:pPr>
      <w:r>
        <w:t xml:space="preserve">Challenges and Strategic Solutions in Wellington Context</w:t>
      </w:r>
    </w:p>
    <w:p>
      <w:pPr>
        <w:pStyle w:val="FirstParagraph"/>
      </w:pPr>
      <w:r>
        <w:t xml:space="preserve">Despite strong results, Dr. Shaw navigated unique Wellington-specific obstacles:</w:t>
      </w:r>
    </w:p>
    <w:p>
      <w:pPr>
        <w:numPr>
          <w:ilvl w:val="0"/>
          <w:numId w:val="1004"/>
        </w:numPr>
        <w:pStyle w:val="Compact"/>
      </w:pPr>
      <w:r>
        <w:rPr>
          <w:iCs/>
          <w:i/>
        </w:rPr>
        <w:t xml:space="preserve">Regional Competition:</w:t>
      </w:r>
      <w:r>
        <w:t xml:space="preserve"> </w:t>
      </w:r>
      <w:r>
        <w:t xml:space="preserve">Countering Christchurch-based providers' lower pricing by emphasizing Victoria's local industry connections (e.g., "We understand your Wellington supply chain issues").</w:t>
      </w:r>
    </w:p>
    <w:p>
      <w:pPr>
        <w:numPr>
          <w:ilvl w:val="0"/>
          <w:numId w:val="1004"/>
        </w:numPr>
        <w:pStyle w:val="Compact"/>
      </w:pPr>
      <w:r>
        <w:rPr>
          <w:iCs/>
          <w:i/>
        </w:rPr>
        <w:t xml:space="preserve">Cultural Alignment:</w:t>
      </w:r>
      <w:r>
        <w:t xml:space="preserve"> </w:t>
      </w:r>
      <w:r>
        <w:t xml:space="preserve">Adapting sales messaging to reflect Wellington's values of sustainability and community—e.g., highlighting carbon-neutral course delivery.</w:t>
      </w:r>
    </w:p>
    <w:p>
      <w:pPr>
        <w:numPr>
          <w:ilvl w:val="0"/>
          <w:numId w:val="1004"/>
        </w:numPr>
        <w:pStyle w:val="Compact"/>
      </w:pPr>
      <w:r>
        <w:rPr>
          <w:iCs/>
          <w:i/>
        </w:rPr>
        <w:t xml:space="preserve">Post-Pandemic Recovery:</w:t>
      </w:r>
      <w:r>
        <w:t xml:space="preserve"> </w:t>
      </w:r>
      <w:r>
        <w:t xml:space="preserve">Targeting businesses re-energizing in the Central Business District (CBD) after lockdowns, positioning courses as "recovery catalysts" rather than standard training.</w:t>
      </w:r>
    </w:p>
    <w:p>
      <w:pPr>
        <w:pStyle w:val="FirstParagraph"/>
      </w:pPr>
      <w:r>
        <w:t xml:space="preserve">Her solution—developing a localized sales toolkit with Wellington-specific case studies—reduced client acquisition costs by 28% and improved close rates by 35%.</w:t>
      </w:r>
    </w:p>
    <w:bookmarkEnd w:id="24"/>
    <w:bookmarkStart w:id="25" w:name="X8a2f776bffa4a4a1788460c3c93e90d7b16ee63"/>
    <w:p>
      <w:pPr>
        <w:pStyle w:val="Heading3"/>
      </w:pPr>
      <w:r>
        <w:t xml:space="preserve">Market Analysis: Wellington's Educational Sales Landscape</w:t>
      </w:r>
    </w:p>
    <w:p>
      <w:pPr>
        <w:pStyle w:val="FirstParagraph"/>
      </w:pPr>
      <w:r>
        <w:t xml:space="preserve">New Zealand Wellington presents distinctive opportunities for University Lecturer-driven sales:</w:t>
      </w:r>
    </w:p>
    <w:p>
      <w:pPr>
        <w:numPr>
          <w:ilvl w:val="0"/>
          <w:numId w:val="1005"/>
        </w:numPr>
        <w:pStyle w:val="Compact"/>
      </w:pPr>
      <w:r>
        <w:t xml:space="preserve">The city has the highest per-capita investment in professional development among NZ cities (21% above national average)</w:t>
      </w:r>
    </w:p>
    <w:p>
      <w:pPr>
        <w:numPr>
          <w:ilvl w:val="0"/>
          <w:numId w:val="1005"/>
        </w:numPr>
        <w:pStyle w:val="Compact"/>
      </w:pPr>
      <w:r>
        <w:t xml:space="preserve">92% of Wellington businesses prioritize locally-tailored training (vs. 68% nationally), creating a competitive advantage for lecturers with regional expertise</w:t>
      </w:r>
    </w:p>
    <w:p>
      <w:pPr>
        <w:numPr>
          <w:ilvl w:val="0"/>
          <w:numId w:val="1005"/>
        </w:numPr>
        <w:pStyle w:val="Compact"/>
      </w:pPr>
      <w:r>
        <w:t xml:space="preserve">Government incentives like the "Skills for Jobs" fund increased demand for short-form courses by 47% in 2023</w:t>
      </w:r>
    </w:p>
    <w:p>
      <w:pPr>
        <w:pStyle w:val="FirstParagraph"/>
      </w:pPr>
      <w:r>
        <w:t xml:space="preserve">Dr. Shaw's sales strategy directly leveraged these trends—her program enrollments rose 51% in regions with active government skills initiatives (e.g., Porirua and Lower Hutt), demonstrating her ability to translate macro-trends into micro-sales outcomes.</w:t>
      </w:r>
    </w:p>
    <w:bookmarkEnd w:id="25"/>
    <w:bookmarkStart w:id="26" w:name="future-sales-strategy-recommendations"/>
    <w:p>
      <w:pPr>
        <w:pStyle w:val="Heading3"/>
      </w:pPr>
      <w:r>
        <w:t xml:space="preserve">Future Sales Strategy Recommendations</w:t>
      </w:r>
    </w:p>
    <w:p>
      <w:pPr>
        <w:pStyle w:val="FirstParagraph"/>
      </w:pPr>
      <w:r>
        <w:t xml:space="preserve">To sustain this performance, we propose the following for Dr. Shaw's 2024 sales plan:</w:t>
      </w:r>
    </w:p>
    <w:p>
      <w:pPr>
        <w:numPr>
          <w:ilvl w:val="0"/>
          <w:numId w:val="1006"/>
        </w:numPr>
        <w:pStyle w:val="Compact"/>
      </w:pPr>
      <w:r>
        <w:rPr>
          <w:iCs/>
          <w:i/>
        </w:rPr>
        <w:t xml:space="preserve">Expand Wellington-Specific Products:</w:t>
      </w:r>
      <w:r>
        <w:t xml:space="preserve"> </w:t>
      </w:r>
      <w:r>
        <w:t xml:space="preserve">Develop "Wellington Governance &amp; Compliance" course targeting council contractors (projected $15k revenue increase)</w:t>
      </w:r>
    </w:p>
    <w:p>
      <w:pPr>
        <w:numPr>
          <w:ilvl w:val="0"/>
          <w:numId w:val="1006"/>
        </w:numPr>
        <w:pStyle w:val="Compact"/>
      </w:pPr>
      <w:r>
        <w:rPr>
          <w:iCs/>
          <w:i/>
        </w:rPr>
        <w:t xml:space="preserve">Leverage Victoria University's International Network:</w:t>
      </w:r>
      <w:r>
        <w:t xml:space="preserve"> </w:t>
      </w:r>
      <w:r>
        <w:t xml:space="preserve">Sell hybrid programs to Australian companies with Wellington operations (e.g., Woolworths NZ headquarters), projecting 20% cross-border sales growth</w:t>
      </w:r>
    </w:p>
    <w:p>
      <w:pPr>
        <w:numPr>
          <w:ilvl w:val="0"/>
          <w:numId w:val="1006"/>
        </w:numPr>
        <w:pStyle w:val="Compact"/>
      </w:pPr>
      <w:r>
        <w:rPr>
          <w:iCs/>
          <w:i/>
        </w:rPr>
        <w:t xml:space="preserve">Integrate New Zealand's National Skills Strategy:</w:t>
      </w:r>
      <w:r>
        <w:t xml:space="preserve"> </w:t>
      </w:r>
      <w:r>
        <w:t xml:space="preserve">Align all courses with the "Skills for Prosperity" framework to access government co-funding streams</w:t>
      </w:r>
    </w:p>
    <w:p>
      <w:pPr>
        <w:pStyle w:val="FirstParagraph"/>
      </w:pPr>
      <w:r>
        <w:t xml:space="preserve">These initiatives are expected to generate an additional $68,000 in sales revenue while strengthening Victoria University's position as Wellington's leading provider of industry-relevant education.</w:t>
      </w:r>
    </w:p>
    <w:bookmarkEnd w:id="26"/>
    <w:bookmarkStart w:id="27" w:name="X3f4c80ff5a7286c9247674ef9433bcb82732acf"/>
    <w:p>
      <w:pPr>
        <w:pStyle w:val="Heading3"/>
      </w:pPr>
      <w:r>
        <w:t xml:space="preserve">Conclusion: The Strategic Value of a Sales-Focused University Lecturer</w:t>
      </w:r>
    </w:p>
    <w:p>
      <w:pPr>
        <w:pStyle w:val="FirstParagraph"/>
      </w:pPr>
      <w:r>
        <w:t xml:space="preserve">This Sales Report unequivocally demonstrates how a University Lecturer can become a critical revenue driver within New Zealand Wellington's tertiary sector. Dr. Shaw's performance transcends traditional academic roles by generating sustainable income through market-responsive program sales that align with both institutional goals and Wellington's economic priorities. Her success proves that when lecturers possess commercial acumen alongside pedagogical expertise—specifically tailored to the New Zealand context—they transform from educators into strategic business partners.</w:t>
      </w:r>
    </w:p>
    <w:p>
      <w:pPr>
        <w:pStyle w:val="BodyText"/>
      </w:pPr>
      <w:r>
        <w:t xml:space="preserve">As Victoria University of Wellington continues its mission to "Shape a better future for Aotearoa," sales performance by faculty like Dr. Shaw will be essential in funding innovative educational experiences that serve both students and the broader Wellington community. We recommend formalizing this sales-focused lecturer model across all schools, particularly in business, engineering, and environmental studies—where industry demand is strongest.</w:t>
      </w:r>
    </w:p>
    <w:p>
      <w:pPr>
        <w:pStyle w:val="BodyText"/>
      </w:pPr>
      <w:r>
        <w:rPr>
          <w:iCs/>
          <w:i/>
        </w:rPr>
        <w:t xml:space="preserve">This report confirms that within New Zealand Wellington's unique academic-industry ecosystem, a strategic University Lecturer is not merely an educator but a pivotal revenue generator. The data presented here represents the gold standard for faculty-led sales performance in our region.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Performance in New Zealand Wellington</dc:title>
  <dc:creator/>
  <dc:language>en</dc:language>
  <cp:keywords/>
  <dcterms:created xsi:type="dcterms:W3CDTF">2026-07-24T21:50:50Z</dcterms:created>
  <dcterms:modified xsi:type="dcterms:W3CDTF">2026-07-24T21:50:50Z</dcterms:modified>
</cp:coreProperties>
</file>

<file path=docProps/custom.xml><?xml version="1.0" encoding="utf-8"?>
<Properties xmlns="http://schemas.openxmlformats.org/officeDocument/2006/custom-properties" xmlns:vt="http://schemas.openxmlformats.org/officeDocument/2006/docPropsVTypes"/>
</file>