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718913b6062daa58a0033fa6c45e73a1b471c0"/>
    <w:p>
      <w:pPr>
        <w:pStyle w:val="Heading1"/>
      </w:pPr>
      <w:r>
        <w:t xml:space="preserve">Sales Report: Strategic Recruitment of University Lecturers at Leading Institutions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Institutional Development Board</w:t>
      </w:r>
      <w:r>
        <w:br/>
      </w:r>
      <w:r>
        <w:rPr>
          <w:bCs/>
          <w:b/>
        </w:rPr>
        <w:t xml:space="preserve">Prepared By:</w:t>
      </w:r>
      <w:r>
        <w:t xml:space="preserve"> </w:t>
      </w:r>
      <w:r>
        <w:t xml:space="preserve">Global Education Talent Acquisition Division</w:t>
      </w:r>
    </w:p>
    <w:bookmarkStart w:id="20" w:name="i.-executive-summary"/>
    <w:p>
      <w:pPr>
        <w:pStyle w:val="Heading2"/>
      </w:pPr>
      <w:r>
        <w:t xml:space="preserve">I. Executive Summary</w:t>
      </w:r>
    </w:p>
    <w:p>
      <w:pPr>
        <w:pStyle w:val="FirstParagraph"/>
      </w:pPr>
      <w:r>
        <w:t xml:space="preserve">This comprehensive Sales Report details the successful recruitment campaign for University Lecturer positions at three premier institutions in Russia Saint Petersburg: St. Petersburg State University (SPbSU), Peter the Great St. Petersburg Polytechnic University (PetrSU), and Saint Petersburg National Research University of Information Technologies, Mechanics and Optics (ITMO). The campaign, conducted between January and September 2023, achieved a 97% placement rate for critical academic roles across STEM, Humanities, and Business disciplines. This report analyzes market dynamics in Russia's educational sector with specific focus on Saint Petersburg's strategic position as Russia's academic capital after Moscow. Key to our success was aligning recruitment strategies with the unique demands of the Saint Petersburg higher education ecosystem.</w:t>
      </w:r>
    </w:p>
    <w:bookmarkEnd w:id="20"/>
    <w:bookmarkStart w:id="21" w:name="Xdea13b9b04c477d028e2984ea9b06ab8fecf0ff"/>
    <w:p>
      <w:pPr>
        <w:pStyle w:val="Heading2"/>
      </w:pPr>
      <w:r>
        <w:t xml:space="preserve">II. Market Context: University Lecturer Demand in Russia Saint Petersburg</w:t>
      </w:r>
    </w:p>
    <w:p>
      <w:pPr>
        <w:pStyle w:val="FirstParagraph"/>
      </w:pPr>
      <w:r>
        <w:t xml:space="preserve">As evidenced by Ministry of Science and Higher Education data, Russia's academic sector faces a critical shortage of qualified University Lecturers, with Saint Petersburg accounting for 38% of all vacancies in the Northwestern Federal District. The city's status as a UNESCO City of Design and Russia's primary educational hub (home to 42% of the country's top-ranked universities) intensifies competition. Our Sales Report reveals that Saint Petersburg institutions require specialized lecturers with: (1) fluency in Russian academic terminology, (2) understanding of Russia's Federal State Educational Standards (FSES), and (3) experience with dual-language pedagogy. The 2023 National University Survey confirms Saint Petersburg universities allocate 27% more budget to faculty recruitment than the national average, making this market exceptionally fertile for strategic sales initiatives.</w:t>
      </w:r>
    </w:p>
    <w:bookmarkEnd w:id="21"/>
    <w:bookmarkStart w:id="22" w:name="X7aa7d75e543ea8757a7c91380af8e8f461abd29"/>
    <w:p>
      <w:pPr>
        <w:pStyle w:val="Heading2"/>
      </w:pPr>
      <w:r>
        <w:t xml:space="preserve">III. Recruitment Strategy &amp; Sales Performance</w:t>
      </w:r>
    </w:p>
    <w:p>
      <w:pPr>
        <w:pStyle w:val="FirstParagraph"/>
      </w:pPr>
      <w:r>
        <w:t xml:space="preserve">Our targeted approach deployed three specialized channels tailored to Russia's academic landscape:</w:t>
      </w:r>
    </w:p>
    <w:p>
      <w:pPr>
        <w:numPr>
          <w:ilvl w:val="0"/>
          <w:numId w:val="1001"/>
        </w:numPr>
        <w:pStyle w:val="Compact"/>
      </w:pPr>
      <w:r>
        <w:rPr>
          <w:bCs/>
          <w:b/>
        </w:rPr>
        <w:t xml:space="preserve">Digital Talent Sourcing:</w:t>
      </w:r>
      <w:r>
        <w:t xml:space="preserve"> </w:t>
      </w:r>
      <w:r>
        <w:t xml:space="preserve">Partnered with Russian academic platforms (e.g., Sci-Hub, Academic.ru) and LinkedIn Russia University Network to reach 12,400+ qualified candidates. Utilized AI-driven screening for Russian language proficiency and FSES compliance.</w:t>
      </w:r>
    </w:p>
    <w:p>
      <w:pPr>
        <w:numPr>
          <w:ilvl w:val="0"/>
          <w:numId w:val="1001"/>
        </w:numPr>
        <w:pStyle w:val="Compact"/>
      </w:pPr>
      <w:r>
        <w:rPr>
          <w:bCs/>
          <w:b/>
        </w:rPr>
        <w:t xml:space="preserve">University Consortium Outreach:</w:t>
      </w:r>
      <w:r>
        <w:t xml:space="preserve"> </w:t>
      </w:r>
      <w:r>
        <w:t xml:space="preserve">Coordinated with Saint Petersburg's Academic Cluster (SPbU, ITMO, PetrSU) to co-host "Future of Education" forums in August 2023, generating 58 qualified leads from local institutions.</w:t>
      </w:r>
    </w:p>
    <w:p>
      <w:pPr>
        <w:numPr>
          <w:ilvl w:val="0"/>
          <w:numId w:val="1001"/>
        </w:numPr>
        <w:pStyle w:val="Compact"/>
      </w:pPr>
      <w:r>
        <w:rPr>
          <w:bCs/>
          <w:b/>
        </w:rPr>
        <w:t xml:space="preserve">Cultural Alignment Sales Process:</w:t>
      </w:r>
      <w:r>
        <w:t xml:space="preserve"> </w:t>
      </w:r>
      <w:r>
        <w:t xml:space="preserve">Implemented Russian-specific negotiation protocols including: (a) mandatory visit to Saint Petersburg campus during interviews, (b) inclusion of "Cultural Immersion" session about city life, and (c) salary packages incorporating Moscow-St. Petersburg academic mobility allowances.</w:t>
      </w:r>
    </w:p>
    <w:p>
      <w:pPr>
        <w:pStyle w:val="FirstParagraph"/>
      </w:pPr>
      <w:r>
        <w:rPr>
          <w:bCs/>
          <w:b/>
        </w:rPr>
        <w:t xml:space="preserve">Sales Metrics Achieved:</w:t>
      </w:r>
      <w:r>
        <w:t xml:space="preserve"> </w:t>
      </w:r>
      <w:r>
        <w:t xml:space="preserve">127 University Lecturer positions filled across 5 disciplines with a 92% retention rate after the first academic year (exceeding Russia's national average of 81%). The Saint Petersburg market delivered our highest conversion rate (43%) among all Russian regions, attributed to our hyper-localized recruitment approach. Total sales revenue generated from placement fees reached $1.8M USD, representing a 22% YoY increase over the previous academic cycle.</w:t>
      </w:r>
    </w:p>
    <w:bookmarkEnd w:id="22"/>
    <w:bookmarkStart w:id="23" w:name="Xc170a89844a0de530bfc8b24d66f30f9886ae24"/>
    <w:p>
      <w:pPr>
        <w:pStyle w:val="Heading2"/>
      </w:pPr>
      <w:r>
        <w:t xml:space="preserve">IV. Competitive Differentiation in Russia Saint Petersburg Context</w:t>
      </w:r>
    </w:p>
    <w:p>
      <w:pPr>
        <w:pStyle w:val="FirstParagraph"/>
      </w:pPr>
      <w:r>
        <w:t xml:space="preserve">Our Sales Report identifies three key differentiators that secured dominance in the Saint Petersburg market:</w:t>
      </w:r>
    </w:p>
    <w:p>
      <w:pPr>
        <w:numPr>
          <w:ilvl w:val="0"/>
          <w:numId w:val="1002"/>
        </w:numPr>
        <w:pStyle w:val="Compact"/>
      </w:pPr>
      <w:r>
        <w:rPr>
          <w:bCs/>
          <w:b/>
        </w:rPr>
        <w:t xml:space="preserve">Local Market Intelligence:</w:t>
      </w:r>
      <w:r>
        <w:t xml:space="preserve"> </w:t>
      </w:r>
      <w:r>
        <w:t xml:space="preserve">Deployed regional sales specialists with direct experience at St. Petersburg universities (e.g., former SPbSU HR managers). This enabled precise understanding of faculty expectations unique to Russia's academic culture, such as the importance of "Kafedra" (department) affiliation in lecturer assignments.</w:t>
      </w:r>
    </w:p>
    <w:p>
      <w:pPr>
        <w:numPr>
          <w:ilvl w:val="0"/>
          <w:numId w:val="1002"/>
        </w:numPr>
        <w:pStyle w:val="Compact"/>
      </w:pPr>
      <w:r>
        <w:rPr>
          <w:bCs/>
          <w:b/>
        </w:rPr>
        <w:t xml:space="preserve">Compliance Integration:</w:t>
      </w:r>
      <w:r>
        <w:t xml:space="preserve"> </w:t>
      </w:r>
      <w:r>
        <w:t xml:space="preserve">All sales materials and candidate assessments included mandatory adherence to Russia's 2021 Academic Staff Certification Standards. This eliminated 95% of non-compliant applications early in the sales funnel – a critical factor ignored by competitors.</w:t>
      </w:r>
    </w:p>
    <w:p>
      <w:pPr>
        <w:numPr>
          <w:ilvl w:val="0"/>
          <w:numId w:val="1002"/>
        </w:numPr>
        <w:pStyle w:val="Compact"/>
      </w:pPr>
      <w:r>
        <w:rPr>
          <w:bCs/>
          <w:b/>
        </w:rPr>
        <w:t xml:space="preserve">Saint Petersburg-Specific Value Proposition:</w:t>
      </w:r>
      <w:r>
        <w:t xml:space="preserve"> </w:t>
      </w:r>
      <w:r>
        <w:t xml:space="preserve">Our "St. Petersburg Academic Excellence Package" included: (a) subsidized housing in historic districts near universities, (b) priority enrollment for children at bilingual schools, and (c) annual cultural stipend for attending Saint Petersburg's UNESCO-recognized events like the White Nights Festival.</w:t>
      </w:r>
    </w:p>
    <w:bookmarkEnd w:id="23"/>
    <w:bookmarkStart w:id="24" w:name="v.-challenges-strategic-solutions"/>
    <w:p>
      <w:pPr>
        <w:pStyle w:val="Heading2"/>
      </w:pPr>
      <w:r>
        <w:t xml:space="preserve">V. Challenges &amp; Strategic Solutions</w:t>
      </w:r>
    </w:p>
    <w:p>
      <w:pPr>
        <w:pStyle w:val="FirstParagraph"/>
      </w:pPr>
      <w:r>
        <w:t xml:space="preserve">The Sales Report documents significant obstacles overcome in Russia Saint Petersburg:</w:t>
      </w:r>
    </w:p>
    <w:p>
      <w:pPr>
        <w:numPr>
          <w:ilvl w:val="0"/>
          <w:numId w:val="1003"/>
        </w:numPr>
        <w:pStyle w:val="Compact"/>
      </w:pPr>
      <w:r>
        <w:rPr>
          <w:bCs/>
          <w:b/>
        </w:rPr>
        <w:t xml:space="preserve">Language Barrier Challenge:</w:t>
      </w:r>
      <w:r>
        <w:t xml:space="preserve"> </w:t>
      </w:r>
      <w:r>
        <w:t xml:space="preserve">63% of international candidates failed Russian proficiency tests.</w:t>
      </w:r>
      <w:r>
        <w:t xml:space="preserve"> </w:t>
      </w:r>
      <w:r>
        <w:rPr>
          <w:iCs/>
          <w:i/>
        </w:rPr>
        <w:t xml:space="preserve">Solution:</w:t>
      </w:r>
      <w:r>
        <w:t xml:space="preserve"> </w:t>
      </w:r>
      <w:r>
        <w:t xml:space="preserve">Implemented pre-employment language bootcamps conducted by SPbSU linguists, increasing qualifying candidates by 41%.</w:t>
      </w:r>
    </w:p>
    <w:p>
      <w:pPr>
        <w:numPr>
          <w:ilvl w:val="0"/>
          <w:numId w:val="1003"/>
        </w:numPr>
        <w:pStyle w:val="Compact"/>
      </w:pPr>
      <w:r>
        <w:rPr>
          <w:bCs/>
          <w:b/>
        </w:rPr>
        <w:t xml:space="preserve">Cultural Misalignment:</w:t>
      </w:r>
      <w:r>
        <w:t xml:space="preserve"> </w:t>
      </w:r>
      <w:r>
        <w:t xml:space="preserve">Initial applications lacked understanding of Saint Petersburg's "academic calendar" (starting September 1st vs. August elsewhere).</w:t>
      </w:r>
      <w:r>
        <w:t xml:space="preserve"> </w:t>
      </w:r>
      <w:r>
        <w:rPr>
          <w:iCs/>
          <w:i/>
        </w:rPr>
        <w:t xml:space="preserve">Solution:</w:t>
      </w:r>
      <w:r>
        <w:t xml:space="preserve"> </w:t>
      </w:r>
      <w:r>
        <w:t xml:space="preserve">Revised all sales communications to emphasize Saint Petersburg-specific timelines in Russian and English.</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concludes that Saint Petersburg remains the most promising market for University Lecturer recruitment in Russia. With the city's new Academic Innovation Center (opening Q1 2024) and increased federal funding for STEM education, demand will grow 18% annually. We recommend:</w:t>
      </w:r>
    </w:p>
    <w:p>
      <w:pPr>
        <w:numPr>
          <w:ilvl w:val="0"/>
          <w:numId w:val="1004"/>
        </w:numPr>
        <w:pStyle w:val="Compact"/>
      </w:pPr>
      <w:r>
        <w:t xml:space="preserve">Establishing a permanent Saint Petersburg talent hub with local sales managers</w:t>
      </w:r>
    </w:p>
    <w:p>
      <w:pPr>
        <w:numPr>
          <w:ilvl w:val="0"/>
          <w:numId w:val="1004"/>
        </w:numPr>
        <w:pStyle w:val="Compact"/>
      </w:pPr>
      <w:r>
        <w:t xml:space="preserve">Developing specialized "Saint Petersburg Academic Culture" training for all incoming lecturers</w:t>
      </w:r>
    </w:p>
    <w:p>
      <w:pPr>
        <w:numPr>
          <w:ilvl w:val="0"/>
          <w:numId w:val="1004"/>
        </w:numPr>
        <w:pStyle w:val="Compact"/>
      </w:pPr>
      <w:r>
        <w:t xml:space="preserve">Creating a referral program targeting current University Lecturers at SPbSU, PetrSU, and ITMO (leveraging their 30% social network penetration in the city)</w:t>
      </w:r>
    </w:p>
    <w:bookmarkEnd w:id="25"/>
    <w:bookmarkStart w:id="26" w:name="vii.-conclusion"/>
    <w:p>
      <w:pPr>
        <w:pStyle w:val="Heading2"/>
      </w:pPr>
      <w:r>
        <w:t xml:space="preserve">VII. Conclusion</w:t>
      </w:r>
    </w:p>
    <w:p>
      <w:pPr>
        <w:pStyle w:val="FirstParagraph"/>
      </w:pPr>
      <w:r>
        <w:t xml:space="preserve">This Sales Report confirms that strategic localization is non-negotiable for successful University Lecturer recruitment in Russia Saint Petersburg. Our 97% placement rate and $1.8M revenue achievement demonstrate that understanding the city's unique academic ecosystem – from its UNESCO heritage to Federal Standards compliance – directly drives sales success. As Saint Petersburg continues to solidify its position as Russia's second academic capital, institutions must prioritize hyper-targeted recruitment strategies like those detailed in this report. The data clearly shows that for University Lecturer placements, "Russia" is not a monolith – and Saint Petersburg demands specialized solutions that recognize its distinct educational identity. We recommend scaling these Saint Petersburg-specific protocols nationwide as the proven model for academic talent acquisition across Russia.</w:t>
      </w:r>
    </w:p>
    <w:p>
      <w:pPr>
        <w:pStyle w:val="BodyText"/>
      </w:pPr>
      <w:r>
        <w:rPr>
          <w:bCs/>
          <w:b/>
        </w:rPr>
        <w:t xml:space="preserve">Appendix:</w:t>
      </w:r>
      <w:r>
        <w:t xml:space="preserve"> </w:t>
      </w:r>
      <w:r>
        <w:t xml:space="preserve">All data verified through Russian Federal State Statistics Service (Rosstat), Ministry of Science and Higher Education, and institutional partnership agreements with St. Petersburg universities.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Russia Saint Petersburg</dc:title>
  <dc:creator/>
  <dc:language>en</dc:language>
  <cp:keywords/>
  <dcterms:created xsi:type="dcterms:W3CDTF">2026-07-24T18:50:45Z</dcterms:created>
  <dcterms:modified xsi:type="dcterms:W3CDTF">2026-07-24T18:50:45Z</dcterms:modified>
</cp:coreProperties>
</file>

<file path=docProps/custom.xml><?xml version="1.0" encoding="utf-8"?>
<Properties xmlns="http://schemas.openxmlformats.org/officeDocument/2006/custom-properties" xmlns:vt="http://schemas.openxmlformats.org/officeDocument/2006/docPropsVTypes"/>
</file>