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659e5bda89c3d0c9b6748aaaea50ead2ef71cc1"/>
    <w:p>
      <w:pPr>
        <w:pStyle w:val="Heading1"/>
      </w:pPr>
      <w:r>
        <w:t xml:space="preserve">Sales Report: Strategic Recruitment of University Lecturers for Higher Education Institutions in Riyadh, Saudi Arabia</w:t>
      </w:r>
    </w:p>
    <w:p>
      <w:pPr>
        <w:pStyle w:val="FirstParagraph"/>
      </w:pPr>
      <w:r>
        <w:rPr>
          <w:bCs/>
          <w:b/>
        </w:rPr>
        <w:t xml:space="preserve">Prepared For:</w:t>
      </w:r>
      <w:r>
        <w:t xml:space="preserve"> </w:t>
      </w:r>
      <w:r>
        <w:t xml:space="preserve">Academic Leadership &amp; Talent Acquisition Teams</w:t>
      </w:r>
      <w:r>
        <w:br/>
      </w:r>
      <w:r>
        <w:rPr>
          <w:bCs/>
          <w:b/>
        </w:rPr>
        <w:t xml:space="preserve">Date:</w:t>
      </w:r>
      <w:r>
        <w:t xml:space="preserve"> </w:t>
      </w:r>
      <w:r>
        <w:t xml:space="preserve">October 26, 2023</w:t>
      </w:r>
      <w:r>
        <w:br/>
      </w:r>
      <w:r>
        <w:rPr>
          <w:bCs/>
          <w:b/>
        </w:rPr>
        <w:t xml:space="preserve">Region:</w:t>
      </w:r>
      <w:r>
        <w:t xml:space="preserve"> </w:t>
      </w:r>
      <w:r>
        <w:t xml:space="preserve">Riyadh, Kingdom of Saudi Arabia</w:t>
      </w:r>
    </w:p>
    <w:bookmarkStart w:id="20" w:name="i.-executive-summary"/>
    <w:p>
      <w:pPr>
        <w:pStyle w:val="Heading2"/>
      </w:pPr>
      <w:r>
        <w:t xml:space="preserve">I. Executive Summary</w:t>
      </w:r>
    </w:p>
    <w:p>
      <w:pPr>
        <w:pStyle w:val="FirstParagraph"/>
      </w:pPr>
      <w:r>
        <w:t xml:space="preserve">This Sales Report details the strategic recruitment and placement of qualified University Lecturers across key higher education institutions in Riyadh, Saudi Arabia. As part of the Kingdom's ambitious Vision 2030 initiative to transform its educational landscape, the demand for skilled academic professionals has surged exponentially. This report outlines a successful sales cycle targeting global talent acquisition for critical lecturer roles at Riyadh-based universities, achieving a 92% placement rate against a benchmark of 85% within Q3 2023. The focus on aligning University Lecturer recruitment with Saudi Arabia's national educational goals has positioned our agency as the preferred partner for institutions seeking to elevate academic standards in Riyadh.</w:t>
      </w:r>
    </w:p>
    <w:bookmarkEnd w:id="20"/>
    <w:bookmarkStart w:id="21" w:name="X1785a035be6a86742d36eeb314c4a6a45e23d91"/>
    <w:p>
      <w:pPr>
        <w:pStyle w:val="Heading2"/>
      </w:pPr>
      <w:r>
        <w:t xml:space="preserve">II. Market Context: University Lecturer Demand in Riyadh, Saudi Arabia</w:t>
      </w:r>
    </w:p>
    <w:p>
      <w:pPr>
        <w:pStyle w:val="FirstParagraph"/>
      </w:pPr>
      <w:r>
        <w:t xml:space="preserve">Riyadh, as the capital and economic heart of Saudi Arabia, is experiencing unprecedented growth in higher education infrastructure. The Ministry of Education (MoE) and Ministry of Higher Education (MOHE) have prioritized expanding university capacity by 40% by 2030, directly driving demand for University Lecturers across disciplines from Engineering to Business Administration. Current statistics reveal a critical shortage of Saudi nationals qualified to fill 68% of senior lecturer positions, creating a significant opportunity for international and domestic recruitment strategies. This Sales Report confirms that institutions in Riyadh are actively seeking high-caliber University Lecturers who not only possess academic excellence but also demonstrate cultural alignment with the Kingdom's social vision.</w:t>
      </w:r>
    </w:p>
    <w:bookmarkEnd w:id="21"/>
    <w:bookmarkStart w:id="22" w:name="X6336b8e78109cbce1a9ef4a5d8f25db78989f27"/>
    <w:p>
      <w:pPr>
        <w:pStyle w:val="Heading2"/>
      </w:pPr>
      <w:r>
        <w:t xml:space="preserve">III. Sales Performance: University Lecturer Recruitment Metrics (Q3 2023)</w:t>
      </w:r>
    </w:p>
    <w:p>
      <w:pPr>
        <w:pStyle w:val="FirstParagraph"/>
      </w:pPr>
      <w:r>
        <w:rPr>
          <w:bCs/>
          <w:b/>
        </w:rPr>
        <w:t xml:space="preserve">Key Achievements:</w:t>
      </w:r>
    </w:p>
    <w:p>
      <w:pPr>
        <w:numPr>
          <w:ilvl w:val="0"/>
          <w:numId w:val="1001"/>
        </w:numPr>
        <w:pStyle w:val="Compact"/>
      </w:pPr>
      <w:r>
        <w:rPr>
          <w:bCs/>
          <w:b/>
        </w:rPr>
        <w:t xml:space="preserve">Positions Filled:</w:t>
      </w:r>
      <w:r>
        <w:t xml:space="preserve"> </w:t>
      </w:r>
      <w:r>
        <w:t xml:space="preserve">147 University Lecturer roles across 18 institutions (including King Saud University, Prince Mohammad bin Salman College, and Riyadh Community Colleges).</w:t>
      </w:r>
    </w:p>
    <w:p>
      <w:pPr>
        <w:numPr>
          <w:ilvl w:val="0"/>
          <w:numId w:val="1001"/>
        </w:numPr>
        <w:pStyle w:val="Compact"/>
      </w:pPr>
      <w:r>
        <w:rPr>
          <w:bCs/>
          <w:b/>
        </w:rPr>
        <w:t xml:space="preserve">Sales Conversion Rate:</w:t>
      </w:r>
      <w:r>
        <w:t xml:space="preserve"> </w:t>
      </w:r>
      <w:r>
        <w:t xml:space="preserve">92.3% (exceeding target by 7.3%), driven by tailored candidate engagement in the Saudi market.</w:t>
      </w:r>
    </w:p>
    <w:p>
      <w:pPr>
        <w:numPr>
          <w:ilvl w:val="0"/>
          <w:numId w:val="1001"/>
        </w:numPr>
        <w:pStyle w:val="Compact"/>
      </w:pPr>
      <w:r>
        <w:rPr>
          <w:bCs/>
          <w:b/>
        </w:rPr>
        <w:t xml:space="preserve">Domestic Recruitment Focus:</w:t>
      </w:r>
      <w:r>
        <w:t xml:space="preserve"> </w:t>
      </w:r>
      <w:r>
        <w:t xml:space="preserve">64% of placements were Saudi nationals, supporting Nitaqat Saudization targets and aligning with Saudi Arabia's "Saudization" policy (Nitaqat) requirements.</w:t>
      </w:r>
    </w:p>
    <w:p>
      <w:pPr>
        <w:numPr>
          <w:ilvl w:val="0"/>
          <w:numId w:val="1001"/>
        </w:numPr>
        <w:pStyle w:val="Compact"/>
      </w:pPr>
      <w:r>
        <w:rPr>
          <w:bCs/>
          <w:b/>
        </w:rPr>
        <w:t xml:space="preserve">International Talent Acquisition:</w:t>
      </w:r>
      <w:r>
        <w:t xml:space="preserve"> </w:t>
      </w:r>
      <w:r>
        <w:t xml:space="preserve">36% of placements sourced globally, with a strong emphasis on English-speaking professionals from the UK, USA, and Australia—critical for Riyadh's growing English-medium programs.</w:t>
      </w:r>
    </w:p>
    <w:p>
      <w:pPr>
        <w:pStyle w:val="FirstParagraph"/>
      </w:pPr>
      <w:r>
        <w:t xml:space="preserve">The Sales Report highlights that Riyadh-based universities are increasingly prioritizing lecturers with industry experience (78% of roles), reflecting Saudi Arabia’s shift toward applied education under Vision 2030. Our team successfully navigated the complex Saudi visa process (Iqama) for international candidates, reducing time-to-hire by 35% compared to regional benchmarks.</w:t>
      </w:r>
    </w:p>
    <w:bookmarkEnd w:id="22"/>
    <w:bookmarkStart w:id="23" w:name="X34d0cfc7e07f1090c66e5fe508a95fd8700026c"/>
    <w:p>
      <w:pPr>
        <w:pStyle w:val="Heading2"/>
      </w:pPr>
      <w:r>
        <w:t xml:space="preserve">IV. Strategic Sales Approach: Aligning with Riyadh's Educational Ecosystem</w:t>
      </w:r>
    </w:p>
    <w:p>
      <w:pPr>
        <w:pStyle w:val="FirstParagraph"/>
      </w:pPr>
      <w:r>
        <w:t xml:space="preserve">Our sales strategy centered on three pillars that directly resonated with Saudi Arabia’s educational priorities:</w:t>
      </w:r>
    </w:p>
    <w:p>
      <w:pPr>
        <w:numPr>
          <w:ilvl w:val="0"/>
          <w:numId w:val="1002"/>
        </w:numPr>
        <w:pStyle w:val="Compact"/>
      </w:pPr>
      <w:r>
        <w:rPr>
          <w:bCs/>
          <w:b/>
        </w:rPr>
        <w:t xml:space="preserve">Cultural &amp; Religious Alignment:</w:t>
      </w:r>
      <w:r>
        <w:t xml:space="preserve"> </w:t>
      </w:r>
      <w:r>
        <w:t xml:space="preserve">All candidate assessments included evaluations of understanding cultural norms and religious practices in Saudi Arabia. This was critical for University Lecturer roles, ensuring candidates could foster inclusive academic environments per the Kingdom’s values.</w:t>
      </w:r>
    </w:p>
    <w:p>
      <w:pPr>
        <w:numPr>
          <w:ilvl w:val="0"/>
          <w:numId w:val="1002"/>
        </w:numPr>
        <w:pStyle w:val="Compact"/>
      </w:pPr>
      <w:r>
        <w:rPr>
          <w:bCs/>
          <w:b/>
        </w:rPr>
        <w:t xml:space="preserve">Vision 2030 Integration:</w:t>
      </w:r>
      <w:r>
        <w:t xml:space="preserve"> </w:t>
      </w:r>
      <w:r>
        <w:t xml:space="preserve">We positioned lecturer recruitment as a catalyst for national development—emphasizing how each hired University Lecturer contributes to reducing youth unemployment and building technical talent pools. Riyadh institutions specifically sought lecturers who could design curricula supporting emerging sectors like AI, renewable energy, and healthcare.</w:t>
      </w:r>
    </w:p>
    <w:p>
      <w:pPr>
        <w:numPr>
          <w:ilvl w:val="0"/>
          <w:numId w:val="1002"/>
        </w:numPr>
        <w:pStyle w:val="Compact"/>
      </w:pPr>
      <w:r>
        <w:rPr>
          <w:bCs/>
          <w:b/>
        </w:rPr>
        <w:t xml:space="preserve">Partnership with MOHE &amp; Universities:</w:t>
      </w:r>
      <w:r>
        <w:t xml:space="preserve"> </w:t>
      </w:r>
      <w:r>
        <w:t xml:space="preserve">We established direct sales channels with key Riyadh universities through the National Center for Educational Development (NCED), resulting in 12 new institutional contracts within Q3. This relationship-focused approach was central to our success in Saudi Arabia’s centralized education market.</w:t>
      </w:r>
    </w:p>
    <w:bookmarkEnd w:id="23"/>
    <w:bookmarkStart w:id="24" w:name="Xb746aee7c6c341ec4b28bdb95f908ba0eabb575"/>
    <w:p>
      <w:pPr>
        <w:pStyle w:val="Heading2"/>
      </w:pPr>
      <w:r>
        <w:t xml:space="preserve">V. Challenges and Adaptive Sales Solutions</w:t>
      </w:r>
    </w:p>
    <w:p>
      <w:pPr>
        <w:pStyle w:val="FirstParagraph"/>
      </w:pPr>
      <w:r>
        <w:t xml:space="preserve">Initial challenges included candidate hesitation about relocating to Riyadh due to cultural adaptation concerns and visa complexities. Our sales team countered this by:</w:t>
      </w:r>
    </w:p>
    <w:p>
      <w:pPr>
        <w:numPr>
          <w:ilvl w:val="0"/>
          <w:numId w:val="1003"/>
        </w:numPr>
        <w:pStyle w:val="Compact"/>
      </w:pPr>
      <w:r>
        <w:t xml:space="preserve">Creating dedicated "Riyadh Relocation Packages" with housing subsidies, family support services, and pre-arrival cultural training—addressing key pain points for University Lecturers.</w:t>
      </w:r>
    </w:p>
    <w:p>
      <w:pPr>
        <w:numPr>
          <w:ilvl w:val="0"/>
          <w:numId w:val="1003"/>
        </w:numPr>
        <w:pStyle w:val="Compact"/>
      </w:pPr>
      <w:r>
        <w:t xml:space="preserve">Developing Saudi-specific marketing collateral highlighting Riyadh's modern infrastructure (e.g., King Abdullah Financial District, new university campuses) and the Kingdom’s safety profile.</w:t>
      </w:r>
    </w:p>
    <w:p>
      <w:pPr>
        <w:numPr>
          <w:ilvl w:val="0"/>
          <w:numId w:val="1003"/>
        </w:numPr>
        <w:pStyle w:val="Compact"/>
      </w:pPr>
      <w:r>
        <w:t xml:space="preserve">Partnering with local entities like the Riyadh Chamber of Commerce to co-host virtual career fairs, directly engaging Saudi graduates for domestic lecturer roles.</w:t>
      </w:r>
    </w:p>
    <w:p>
      <w:pPr>
        <w:pStyle w:val="FirstParagraph"/>
      </w:pPr>
      <w:r>
        <w:t xml:space="preserve">This proactive sales approach directly addressed the unique requirements of hiring University Lecturers in Saudi Arabia Riyadh, converting 22% more hesitant candidates into confirmed placements compared to competitors.</w:t>
      </w:r>
    </w:p>
    <w:bookmarkEnd w:id="24"/>
    <w:bookmarkStart w:id="25" w:name="vi.-financial-impact-and-roi-analysis"/>
    <w:p>
      <w:pPr>
        <w:pStyle w:val="Heading2"/>
      </w:pPr>
      <w:r>
        <w:t xml:space="preserve">VI. Financial Impact and ROI Analysis</w:t>
      </w:r>
    </w:p>
    <w:p>
      <w:pPr>
        <w:pStyle w:val="FirstParagraph"/>
      </w:pPr>
      <w:r>
        <w:t xml:space="preserve">The Sales Report demonstrates a clear financial return for Riyadh institutions:</w:t>
      </w:r>
    </w:p>
    <w:p>
      <w:pPr>
        <w:numPr>
          <w:ilvl w:val="0"/>
          <w:numId w:val="1004"/>
        </w:numPr>
        <w:pStyle w:val="Compact"/>
      </w:pPr>
      <w:r>
        <w:rPr>
          <w:bCs/>
          <w:b/>
        </w:rPr>
        <w:t xml:space="preserve">Cost Efficiency:</w:t>
      </w:r>
      <w:r>
        <w:t xml:space="preserve"> </w:t>
      </w:r>
      <w:r>
        <w:t xml:space="preserve">Reducing time-to-fill from 102 days (industry average) to 68 days, saving universities an estimated SAR 45,000 per role in operational downtime.</w:t>
      </w:r>
    </w:p>
    <w:p>
      <w:pPr>
        <w:numPr>
          <w:ilvl w:val="0"/>
          <w:numId w:val="1004"/>
        </w:numPr>
        <w:pStyle w:val="Compact"/>
      </w:pPr>
      <w:r>
        <w:rPr>
          <w:bCs/>
          <w:b/>
        </w:rPr>
        <w:t xml:space="preserve">Institutional Growth:</w:t>
      </w:r>
      <w:r>
        <w:t xml:space="preserve"> </w:t>
      </w:r>
      <w:r>
        <w:t xml:space="preserve">For every University Lecturer placed, participating Riyadh universities reported a 17% increase in student enrollment capacity within six months—directly supporting their strategic growth targets.</w:t>
      </w:r>
    </w:p>
    <w:p>
      <w:pPr>
        <w:numPr>
          <w:ilvl w:val="0"/>
          <w:numId w:val="1004"/>
        </w:numPr>
        <w:pStyle w:val="Compact"/>
      </w:pPr>
      <w:r>
        <w:rPr>
          <w:bCs/>
          <w:b/>
        </w:rPr>
        <w:t xml:space="preserve">Saudi Arabia’s Economic Contribution:</w:t>
      </w:r>
      <w:r>
        <w:t xml:space="preserve"> </w:t>
      </w:r>
      <w:r>
        <w:t xml:space="preserve">Hiring 64% Saudi nationals for lecturer roles contributed to Vision 2030’s goal of creating over 85,000 new jobs in education by 2030, enhancing our agency's reputation as a partner in national development.</w:t>
      </w:r>
    </w:p>
    <w:bookmarkEnd w:id="25"/>
    <w:bookmarkStart w:id="26" w:name="X60151e6f821b152859ef6bb1cd672e3d91f9dcb"/>
    <w:p>
      <w:pPr>
        <w:pStyle w:val="Heading2"/>
      </w:pPr>
      <w:r>
        <w:t xml:space="preserve">VII. Conclusion and Forward-Looking Recommendations</w:t>
      </w:r>
    </w:p>
    <w:p>
      <w:pPr>
        <w:pStyle w:val="FirstParagraph"/>
      </w:pPr>
      <w:r>
        <w:t xml:space="preserve">The Sales Report confirms that targeting University Lecturer recruitment in Riyadh, Saudi Arabia is not merely an operational necessity but a strategic investment in the Kingdom’s human capital. Our success underscores the importance of adapting sales strategies to align with Saudi cultural values and national development objectives. Moving forward, we recommend:</w:t>
      </w:r>
    </w:p>
    <w:p>
      <w:pPr>
        <w:numPr>
          <w:ilvl w:val="0"/>
          <w:numId w:val="1005"/>
        </w:numPr>
        <w:pStyle w:val="Compact"/>
      </w:pPr>
      <w:r>
        <w:t xml:space="preserve">Expanding partnerships with MOHE for standardized lecturer qualification frameworks.</w:t>
      </w:r>
    </w:p>
    <w:p>
      <w:pPr>
        <w:numPr>
          <w:ilvl w:val="0"/>
          <w:numId w:val="1005"/>
        </w:numPr>
        <w:pStyle w:val="Compact"/>
      </w:pPr>
      <w:r>
        <w:t xml:space="preserve">Developing a Riyadh-specific "Lecturer Ambassador Program" to retain talent through professional development.</w:t>
      </w:r>
    </w:p>
    <w:p>
      <w:pPr>
        <w:numPr>
          <w:ilvl w:val="0"/>
          <w:numId w:val="1005"/>
        </w:numPr>
        <w:pStyle w:val="Compact"/>
      </w:pPr>
      <w:r>
        <w:t xml:space="preserve">Prioritizing AI-driven candidate matching for high-demand STEM lecturer roles in Riyadh’s new technology hubs.</w:t>
      </w:r>
    </w:p>
    <w:p>
      <w:pPr>
        <w:pStyle w:val="FirstParagraph"/>
      </w:pPr>
      <w:r>
        <w:t xml:space="preserve">In conclusion, this Sales Report reaffirms that effective University Lecturer recruitment in Saudi Arabia Riyadh is a dynamic, value-driven process. By embedding cultural intelligence and national strategic alignment into every sales interaction, we have positioned our agency as the indispensable partner for academic excellence in the Kingdom’s capital. The demand for quality lecturers remains robust—making Riyadh a cornerstone of Saudi Arabia’s educational future.</w:t>
      </w:r>
    </w:p>
    <w:p>
      <w:pPr>
        <w:pStyle w:val="BodyText"/>
      </w:pPr>
      <w:r>
        <w:rPr>
          <w:bCs/>
          <w:b/>
        </w:rPr>
        <w:t xml:space="preserve">Prepared by:</w:t>
      </w:r>
      <w:r>
        <w:t xml:space="preserve"> </w:t>
      </w:r>
      <w:r>
        <w:t xml:space="preserve">Global Academic Talent Solutions</w:t>
      </w:r>
      <w:r>
        <w:br/>
      </w:r>
      <w:r>
        <w:rPr>
          <w:bCs/>
          <w:b/>
        </w:rPr>
        <w:t xml:space="preserve">Contact:</w:t>
      </w:r>
      <w:r>
        <w:t xml:space="preserve"> </w:t>
      </w:r>
      <w:r>
        <w:t xml:space="preserve">talent@gafts.com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Riyadh, Saudi Arabia</dc:title>
  <dc:creator/>
  <dc:language>en</dc:language>
  <cp:keywords/>
  <dcterms:created xsi:type="dcterms:W3CDTF">2026-07-24T04:48:01Z</dcterms:created>
  <dcterms:modified xsi:type="dcterms:W3CDTF">2026-07-24T04:48:01Z</dcterms:modified>
</cp:coreProperties>
</file>

<file path=docProps/custom.xml><?xml version="1.0" encoding="utf-8"?>
<Properties xmlns="http://schemas.openxmlformats.org/officeDocument/2006/custom-properties" xmlns:vt="http://schemas.openxmlformats.org/officeDocument/2006/docPropsVTypes"/>
</file>