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w:t>
      </w:r>
      <w:r>
        <w:t xml:space="preserve"> </w:t>
      </w:r>
      <w:r>
        <w:t xml:space="preserve">Seoul,</w:t>
      </w:r>
      <w:r>
        <w:t xml:space="preserve"> </w:t>
      </w:r>
      <w:r>
        <w:t xml:space="preserve">South</w:t>
      </w:r>
      <w:r>
        <w:t xml:space="preserve"> </w:t>
      </w:r>
      <w:r>
        <w:t xml:space="preserve">Korea</w:t>
      </w:r>
    </w:p>
    <w:bookmarkStart w:id="26" w:name="Xb51dd49f1390800d27fd3a1f02ae983df8be21e"/>
    <w:p>
      <w:pPr>
        <w:pStyle w:val="Heading1"/>
      </w:pPr>
      <w:r>
        <w:t xml:space="preserve">Internal Sales Report: Strategic Recruitment of University Lecturers in Seoul, South Korea</w:t>
      </w:r>
    </w:p>
    <w:bookmarkStart w:id="20" w:name="executive-summary"/>
    <w:p>
      <w:pPr>
        <w:pStyle w:val="Heading2"/>
      </w:pPr>
      <w:r>
        <w:t xml:space="preserve">Executive Summary</w:t>
      </w:r>
    </w:p>
    <w:p>
      <w:pPr>
        <w:pStyle w:val="FirstParagraph"/>
      </w:pPr>
      <w:r>
        <w:t xml:space="preserve">This comprehensive Sales Report analyzes the current market dynamics and strategic opportunities for recruiting highly qualified University Lecturers across premier institutions in Seoul, South Korea. As a critical component of our academic talent acquisition strategy, this report outlines the unique challenges and opportunities within Seoul's competitive higher education landscape. The data presented reflects an 18-month analysis conducted by our Global Academic Placement Division, specifically targeting the Seoul metropolitan area where 68% of South Korea's top-ranked universities are headquartered.</w:t>
      </w:r>
    </w:p>
    <w:bookmarkEnd w:id="20"/>
    <w:bookmarkStart w:id="21" w:name="Xdeb288c7c98b8615e3dd60ac82fc60d26f144e7"/>
    <w:p>
      <w:pPr>
        <w:pStyle w:val="Heading2"/>
      </w:pPr>
      <w:r>
        <w:t xml:space="preserve">Market Analysis: University Lecturer Demand in Seoul</w:t>
      </w:r>
    </w:p>
    <w:p>
      <w:pPr>
        <w:pStyle w:val="FirstParagraph"/>
      </w:pPr>
      <w:r>
        <w:t xml:space="preserve">Seoul serves as the epicenter of South Korea's academic industry, housing institutions like Seoul National University (SNU), Yonsei University, and Korea University – collectively receiving over 70% of international faculty applications nationwide. Our sales intelligence indicates a critical shortage of qualified University Lecturers in STEM and AI disciplines, with a current vacancy rate of 23% across Seoul's top 10 universities. This demand surge is directly linked to South Korea's national "AI Innovation Strategy" (2023-2030), which mandates all universities to establish at least one new AI-focused department by 2025.</w:t>
      </w:r>
    </w:p>
    <w:p>
      <w:pPr>
        <w:pStyle w:val="BodyText"/>
      </w:pPr>
      <w:r>
        <w:t xml:space="preserve">Crucially, the Seoul market differentiates itself through three key factors:</w:t>
      </w:r>
    </w:p>
    <w:p>
      <w:pPr>
        <w:numPr>
          <w:ilvl w:val="0"/>
          <w:numId w:val="1001"/>
        </w:numPr>
        <w:pStyle w:val="Compact"/>
      </w:pPr>
      <w:r>
        <w:rPr>
          <w:bCs/>
          <w:b/>
        </w:rPr>
        <w:t xml:space="preserve">Cultural Integration Requirements:</w:t>
      </w:r>
      <w:r>
        <w:t xml:space="preserve"> </w:t>
      </w:r>
      <w:r>
        <w:t xml:space="preserve">Successful University Lecturers must demonstrate fluency in Korean (TOPIK Level 4+) and understanding of Korean academic culture – a non-negotiable factor in our sales qualification matrix.</w:t>
      </w:r>
    </w:p>
    <w:p>
      <w:pPr>
        <w:numPr>
          <w:ilvl w:val="0"/>
          <w:numId w:val="1001"/>
        </w:numPr>
        <w:pStyle w:val="Compact"/>
      </w:pPr>
      <w:r>
        <w:rPr>
          <w:bCs/>
          <w:b/>
        </w:rPr>
        <w:t xml:space="preserve">Competitive Salary Benchmarking:</w:t>
      </w:r>
      <w:r>
        <w:t xml:space="preserve"> </w:t>
      </w:r>
      <w:r>
        <w:t xml:space="preserve">Seoul-based lecturers command 15-20% higher compensation than national averages, with base salaries ranging from ₩58M to ₩72M annually (excluding housing allowances), significantly outpacing the national average of ₩49M.</w:t>
      </w:r>
    </w:p>
    <w:p>
      <w:pPr>
        <w:numPr>
          <w:ilvl w:val="0"/>
          <w:numId w:val="1001"/>
        </w:numPr>
        <w:pStyle w:val="Compact"/>
      </w:pPr>
      <w:r>
        <w:rPr>
          <w:bCs/>
          <w:b/>
        </w:rPr>
        <w:t xml:space="preserve">Location Premium:</w:t>
      </w:r>
      <w:r>
        <w:t xml:space="preserve"> </w:t>
      </w:r>
      <w:r>
        <w:t xml:space="preserve">Gangnam District universities (e.g., Sogang University) offer premium recruitment packages due to Seoul's central business location, directly influencing our sales positioning strategy.</w:t>
      </w:r>
    </w:p>
    <w:bookmarkEnd w:id="21"/>
    <w:bookmarkStart w:id="22" w:name="sales-performance-metrics-q1-q4-2023"/>
    <w:p>
      <w:pPr>
        <w:pStyle w:val="Heading2"/>
      </w:pPr>
      <w:r>
        <w:t xml:space="preserve">Sales Performance Metrics (Q1-Q4 2023)</w:t>
      </w:r>
    </w:p>
    <w:p>
      <w:pPr>
        <w:pStyle w:val="FirstParagraph"/>
      </w:pPr>
      <w:r>
        <w:t xml:space="preserve">This Sales Report tracks our recruitment success rate for University Lecturers targeting Seoul institutions. Our primary KPIs include:</w:t>
      </w:r>
    </w:p>
    <w:p>
      <w:pPr>
        <w:pStyle w:val="BodyText"/>
      </w:pPr>
      <w:r>
        <w:t xml:space="preserve">Recruitment Channel</w:t>
      </w:r>
    </w:p>
    <w:p>
      <w:pPr>
        <w:pStyle w:val="BodyText"/>
      </w:pPr>
      <w:r>
        <w:t xml:space="preserve">Applications Received</w:t>
      </w:r>
    </w:p>
    <w:p>
      <w:pPr>
        <w:pStyle w:val="BodyText"/>
      </w:pPr>
      <w:r>
        <w:t xml:space="preserve">Qualified Candidates</w:t>
      </w:r>
    </w:p>
    <w:p>
      <w:pPr>
        <w:pStyle w:val="BodyText"/>
      </w:pPr>
      <w:r>
        <w:t xml:space="preserve">Hire Rate (Seoul)</w:t>
      </w:r>
    </w:p>
    <w:p>
      <w:pPr>
        <w:pStyle w:val="BodyText"/>
      </w:pPr>
      <w:r>
        <w:t xml:space="preserve">Global Academic Platforms (e.g., Academia.edu, LinkedIn)</w:t>
      </w:r>
    </w:p>
    <w:p>
      <w:pPr>
        <w:pStyle w:val="BodyText"/>
      </w:pPr>
      <w:r>
        <w:t xml:space="preserve">1,248</w:t>
      </w:r>
    </w:p>
    <w:p>
      <w:pPr>
        <w:pStyle w:val="BodyText"/>
      </w:pPr>
      <w:r>
        <w:t xml:space="preserve">397</w:t>
      </w:r>
    </w:p>
    <w:p>
      <w:pPr>
        <w:pStyle w:val="BodyText"/>
      </w:pPr>
      <w:r>
        <w:t xml:space="preserve">31.8%</w:t>
      </w:r>
    </w:p>
    <w:p>
      <w:pPr>
        <w:pStyle w:val="BodyText"/>
      </w:pPr>
      <w:r>
        <w:t xml:space="preserve">Korean University Partnerships (Seoul-based)</w:t>
      </w:r>
    </w:p>
    <w:p>
      <w:pPr>
        <w:pStyle w:val="BodyText"/>
      </w:pPr>
      <w:r>
        <w:t xml:space="preserve">865</w:t>
      </w:r>
    </w:p>
    <w:p>
      <w:pPr>
        <w:pStyle w:val="BodyText"/>
      </w:pPr>
      <w:r>
        <w:t xml:space="preserve">&lt;</w:t>
      </w:r>
    </w:p>
    <w:p>
      <w:pPr>
        <w:pStyle w:val="BodyText"/>
      </w:pPr>
      <w:r>
        <w:t xml:space="preserve">522</w:t>
      </w:r>
    </w:p>
    <w:p>
      <w:pPr>
        <w:pStyle w:val="BodyText"/>
      </w:pPr>
      <w:r>
        <w:t xml:space="preserve">Total Seoul Candidates (Q4 2023): 9,741</w:t>
      </w:r>
      <w:r>
        <w:br/>
      </w:r>
      <w:r>
        <w:t xml:space="preserve">*Excluding campus events and direct referrals</w:t>
      </w:r>
    </w:p>
    <w:p>
      <w:pPr>
        <w:pStyle w:val="BodyText"/>
      </w:pPr>
      <w:r>
        <w:t xml:space="preserve">Our most successful channel was strategic partnerships with Seoul-based institutions, achieving a 68% candidate conversion rate – nearly double the industry average. This directly correlates with our targeted Sales Strategy emphasizing cultural alignment during the recruitment process, particularly for University Lecturer roles requiring campus immersion in Seoul's academic environment.</w:t>
      </w:r>
    </w:p>
    <w:bookmarkEnd w:id="22"/>
    <w:bookmarkStart w:id="23" w:name="seoul-specific-recruitment-challenges"/>
    <w:p>
      <w:pPr>
        <w:pStyle w:val="Heading2"/>
      </w:pPr>
      <w:r>
        <w:t xml:space="preserve">Seoul-Specific Recruitment Challenges</w:t>
      </w:r>
    </w:p>
    <w:p>
      <w:pPr>
        <w:pStyle w:val="FirstParagraph"/>
      </w:pPr>
      <w:r>
        <w:t xml:space="preserve">Our field analysis identifies three critical challenges unique to Seoul's University Lecturer market:</w:t>
      </w:r>
    </w:p>
    <w:p>
      <w:pPr>
        <w:numPr>
          <w:ilvl w:val="0"/>
          <w:numId w:val="1002"/>
        </w:numPr>
        <w:pStyle w:val="Compact"/>
      </w:pPr>
      <w:r>
        <w:rPr>
          <w:bCs/>
          <w:b/>
        </w:rPr>
        <w:t xml:space="preserve">Visa Procurement Complexity:</w:t>
      </w:r>
      <w:r>
        <w:t xml:space="preserve"> </w:t>
      </w:r>
      <w:r>
        <w:t xml:space="preserve">The E-2 Visa (for academic professionals) requires 4-6 months processing time – a significant barrier. Our sales team now includes dedicated immigration specialists at our Seoul office, reducing average onboarding time by 32%.</w:t>
      </w:r>
    </w:p>
    <w:p>
      <w:pPr>
        <w:numPr>
          <w:ilvl w:val="0"/>
          <w:numId w:val="1002"/>
        </w:numPr>
        <w:pStyle w:val="Compact"/>
      </w:pPr>
      <w:r>
        <w:rPr>
          <w:bCs/>
          <w:b/>
        </w:rPr>
        <w:t xml:space="preserve">Cultural Onboarding Gap:</w:t>
      </w:r>
      <w:r>
        <w:t xml:space="preserve"> </w:t>
      </w:r>
      <w:r>
        <w:t xml:space="preserve">International candidates often underestimate the importance of Korean academic hierarchy (e.g., "Haksa" protocols). We've implemented mandatory Seoul-specific cultural training modules, improving lecturer retention by 27%.</w:t>
      </w:r>
    </w:p>
    <w:p>
      <w:pPr>
        <w:numPr>
          <w:ilvl w:val="0"/>
          <w:numId w:val="1002"/>
        </w:numPr>
        <w:pStyle w:val="Compact"/>
      </w:pPr>
      <w:r>
        <w:rPr>
          <w:bCs/>
          <w:b/>
        </w:rPr>
        <w:t xml:space="preserve">Competition from Private Sector:</w:t>
      </w:r>
      <w:r>
        <w:t xml:space="preserve"> </w:t>
      </w:r>
      <w:r>
        <w:t xml:space="preserve">Leading Seoul-based tech firms (Samsung, LG) offer 15-30% higher salaries for AI specialists. Our Sales Report recommends developing "Industry-Academia Bridge" packages offering part-time industry consulting opportunities – a feature now driving 41% of our successful offers.</w:t>
      </w:r>
    </w:p>
    <w:bookmarkEnd w:id="23"/>
    <w:bookmarkStart w:id="24" w:name="X254cf992b0ebefe7247f4cfcebd6917a50607db"/>
    <w:p>
      <w:pPr>
        <w:pStyle w:val="Heading2"/>
      </w:pPr>
      <w:r>
        <w:t xml:space="preserve">Strategic Recommendations for Seoul University Lecturer Recruitment</w:t>
      </w:r>
    </w:p>
    <w:p>
      <w:pPr>
        <w:pStyle w:val="FirstParagraph"/>
      </w:pPr>
      <w:r>
        <w:t xml:space="preserve">Based on this Sales Report, we propose the following data-driven initiatives for our South Korea Seoul operations:</w:t>
      </w:r>
    </w:p>
    <w:p>
      <w:pPr>
        <w:numPr>
          <w:ilvl w:val="0"/>
          <w:numId w:val="1003"/>
        </w:numPr>
        <w:pStyle w:val="Compact"/>
      </w:pPr>
      <w:r>
        <w:rPr>
          <w:bCs/>
          <w:b/>
        </w:rPr>
        <w:t xml:space="preserve">Hyper-Localized Marketing Campaigns:</w:t>
      </w:r>
      <w:r>
        <w:t xml:space="preserve"> </w:t>
      </w:r>
      <w:r>
        <w:t xml:space="preserve">Develop content highlighting specific Seoul campus experiences (e.g., "Teaching at SNU's Innovation Hub in Yeongdeungpo" vs. generic university promotions).</w:t>
      </w:r>
    </w:p>
    <w:p>
      <w:pPr>
        <w:numPr>
          <w:ilvl w:val="0"/>
          <w:numId w:val="1003"/>
        </w:numPr>
        <w:pStyle w:val="Compact"/>
      </w:pPr>
      <w:r>
        <w:rPr>
          <w:bCs/>
          <w:b/>
        </w:rPr>
        <w:t xml:space="preserve">Sponsored Hangeul Language Immersion:</w:t>
      </w:r>
      <w:r>
        <w:t xml:space="preserve"> </w:t>
      </w:r>
      <w:r>
        <w:t xml:space="preserve">Partner with Seoul-based language institutes to provide guaranteed TOPIK Level 5 preparation for shortlisted candidates – a key differentiator in our sales pitch.</w:t>
      </w:r>
    </w:p>
    <w:p>
      <w:pPr>
        <w:numPr>
          <w:ilvl w:val="0"/>
          <w:numId w:val="1003"/>
        </w:numPr>
        <w:pStyle w:val="Compact"/>
      </w:pPr>
      <w:r>
        <w:rPr>
          <w:bCs/>
          <w:b/>
        </w:rPr>
        <w:t xml:space="preserve">Seoul Alumni Network Leverage:</w:t>
      </w:r>
      <w:r>
        <w:t xml:space="preserve"> </w:t>
      </w:r>
      <w:r>
        <w:t xml:space="preserve">Create a dedicated "Seoul University Lecturer Alumni Community" to facilitate peer referrals, significantly reducing recruitment costs by 24% as evidenced by Q3 data.</w:t>
      </w:r>
    </w:p>
    <w:p>
      <w:pPr>
        <w:numPr>
          <w:ilvl w:val="0"/>
          <w:numId w:val="1003"/>
        </w:numPr>
        <w:pStyle w:val="Compact"/>
      </w:pPr>
      <w:r>
        <w:rPr>
          <w:bCs/>
          <w:b/>
        </w:rPr>
        <w:t xml:space="preserve">Location-Based Compensation Tiers:</w:t>
      </w:r>
      <w:r>
        <w:t xml:space="preserve"> </w:t>
      </w:r>
      <w:r>
        <w:t xml:space="preserve">Implement district-specific salary bands (e.g., ₩65M for Gangnam vs. ₩59M for Mapo District) to align with Seoul's cost-of-living variations.</w:t>
      </w:r>
    </w:p>
    <w:bookmarkEnd w:id="24"/>
    <w:bookmarkStart w:id="25" w:name="X87e9924ced2051604b6a65970bc2fe3c90a60fb"/>
    <w:p>
      <w:pPr>
        <w:pStyle w:val="Heading2"/>
      </w:pPr>
      <w:r>
        <w:t xml:space="preserve">Conclusion: The Future of University Lecturer Sales in Seoul</w:t>
      </w:r>
    </w:p>
    <w:p>
      <w:pPr>
        <w:pStyle w:val="FirstParagraph"/>
      </w:pPr>
      <w:r>
        <w:t xml:space="preserve">This Sales Report confirms that successful recruitment of University Lecturers in South Korea's Seoul market requires moving beyond standard international hiring practices. The city's unique academic ecosystem demands a sophisticated sales strategy integrating cultural intelligence, visa navigation, and location-specific value propositions. As Seoul solidifies its position as East Asia's premier academic hub – with 12 universities ranking in the global top 500 by QS (2023) – our ability to secure top talent will directly determine institutional competitiveness.</w:t>
      </w:r>
    </w:p>
    <w:p>
      <w:pPr>
        <w:pStyle w:val="BodyText"/>
      </w:pPr>
      <w:r>
        <w:t xml:space="preserve">Our data shows that candidates increasingly prioritize Seoul-based institutions for career trajectory, with 89% of successful hires citing "Seoul's academic prestige" as their primary motivator. By embedding these market insights into every facet of our University Lecturer recruitment process, we project a 35% increase in qualified candidates by Q2 2024. This Sales Report serves as the foundational document for our Seoul-focused talent acquisition strategy, ensuring South Korea's premier universities maintain their position as global leaders through exceptional faculty recruitment.</w:t>
      </w:r>
    </w:p>
    <w:p>
      <w:pPr>
        <w:pStyle w:val="BodyText"/>
      </w:pPr>
      <w:r>
        <w:rPr>
          <w:iCs/>
          <w:i/>
        </w:rPr>
        <w:t xml:space="preserve">Prepared by: Global Academic Placement Division | Date: October 26, 2023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Strategy - Seoul, South Korea</dc:title>
  <dc:creator/>
  <dc:language>en</dc:language>
  <cp:keywords/>
  <dcterms:created xsi:type="dcterms:W3CDTF">2025-12-11T17:23:53Z</dcterms:created>
  <dcterms:modified xsi:type="dcterms:W3CDTF">2025-12-11T17:23:53Z</dcterms:modified>
</cp:coreProperties>
</file>

<file path=docProps/custom.xml><?xml version="1.0" encoding="utf-8"?>
<Properties xmlns="http://schemas.openxmlformats.org/officeDocument/2006/custom-properties" xmlns:vt="http://schemas.openxmlformats.org/officeDocument/2006/docPropsVTypes"/>
</file>