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Valencia</w:t>
      </w:r>
      <w:r>
        <w:t xml:space="preserve"> </w:t>
      </w:r>
      <w:r>
        <w:t xml:space="preserve">Spain</w:t>
      </w:r>
    </w:p>
    <w:bookmarkStart w:id="28" w:name="X5eb8e1e7253162bfd9bc7ec80cd4431ba1f946c"/>
    <w:p>
      <w:pPr>
        <w:pStyle w:val="Heading1"/>
      </w:pPr>
      <w:r>
        <w:t xml:space="preserve">Comprehensive Sales Performance Report: University Lecturer Recruitment in Valencia,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Universidad de València HR Department &amp; Regional Academic Leadership</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recruitment performance for University Lecturer positions across higher education institutions in Spain Valencia during Q1-Q3 2023. As a critical component of Spain's academic talent strategy, our sales initiatives have successfully filled 87% of all targeted lecturer vacancies in Valencia, exceeding regional benchmarks by 19%. The report demonstrates how strategic sales approaches—tailored to Valencia's unique educational ecosystem—have driven exceptional candidate acquisition and retention rates. This document underscores the vital connection between effective recruitment "sales" and Spain's commitment to academic excellence in the Valencian Community.</w:t>
      </w:r>
    </w:p>
    <w:bookmarkEnd w:id="20"/>
    <w:bookmarkStart w:id="21" w:name="X929d1b4717d6403f0528c4316d3bb7af29437d1"/>
    <w:p>
      <w:pPr>
        <w:pStyle w:val="Heading2"/>
      </w:pPr>
      <w:r>
        <w:t xml:space="preserve">II. Regional Context: Spain Valencia Academic Landscape</w:t>
      </w:r>
    </w:p>
    <w:p>
      <w:pPr>
        <w:pStyle w:val="FirstParagraph"/>
      </w:pPr>
      <w:r>
        <w:t xml:space="preserve">Valencia, as a hub of innovation within Spain, hosts 3 major public universities (University of Valencia, Polytechnic University of Valencia, and CEU Cardenal Herrera University) and numerous private institutions. With over 180,000 students and 45% growth in STEM programs since 2020, the demand for qualified University Lecturers has surged. Spain's Ministry of Education prioritizes regional talent development in Valencia through the "Valencia Talent Initiative," making this market pivotal for national academic goals. This Sales Report specifically tracks how our recruitment strategy aligns with these regional objectives.</w:t>
      </w:r>
    </w:p>
    <w:bookmarkEnd w:id="21"/>
    <w:bookmarkStart w:id="22" w:name="iii.-sales-strategy-implementation"/>
    <w:p>
      <w:pPr>
        <w:pStyle w:val="Heading2"/>
      </w:pPr>
      <w:r>
        <w:t xml:space="preserve">III. Sales Strategy Implementation</w:t>
      </w:r>
    </w:p>
    <w:p>
      <w:pPr>
        <w:pStyle w:val="FirstParagraph"/>
      </w:pPr>
      <w:r>
        <w:t xml:space="preserve">Our approach transformed traditional recruitment into a targeted sales process, focusing on three pillars unique to Spain Valencia:</w:t>
      </w:r>
    </w:p>
    <w:p>
      <w:pPr>
        <w:numPr>
          <w:ilvl w:val="0"/>
          <w:numId w:val="1001"/>
        </w:numPr>
        <w:pStyle w:val="Compact"/>
      </w:pPr>
      <w:r>
        <w:rPr>
          <w:bCs/>
          <w:b/>
        </w:rPr>
        <w:t xml:space="preserve">Cultural Integration Sales Pitch:</w:t>
      </w:r>
      <w:r>
        <w:t xml:space="preserve"> </w:t>
      </w:r>
      <w:r>
        <w:t xml:space="preserve">We developed Spanish-language candidate journeys emphasizing Valencian cultural immersion (e.g., "Join Our Lecturer Community: Live and Teach in the Heart of Mediterranean Culture"). This resonated with 73% of accepted candidates citing regional lifestyle as a key factor.</w:t>
      </w:r>
    </w:p>
    <w:p>
      <w:pPr>
        <w:numPr>
          <w:ilvl w:val="0"/>
          <w:numId w:val="1001"/>
        </w:numPr>
        <w:pStyle w:val="Compact"/>
      </w:pPr>
      <w:r>
        <w:rPr>
          <w:bCs/>
          <w:b/>
        </w:rPr>
        <w:t xml:space="preserve">Academic Value Proposition:</w:t>
      </w:r>
      <w:r>
        <w:t xml:space="preserve"> </w:t>
      </w:r>
      <w:r>
        <w:t xml:space="preserve">Instead of generic job postings, we crafted "Lecturer Sales Kits" highlighting Spain's research grants (e.g., Ramón y Cajal program) and Valencian-specific opportunities like the Valencia Institute of Industrial Technology collaborations.</w:t>
      </w:r>
    </w:p>
    <w:p>
      <w:pPr>
        <w:numPr>
          <w:ilvl w:val="0"/>
          <w:numId w:val="1001"/>
        </w:numPr>
        <w:pStyle w:val="Compact"/>
      </w:pPr>
      <w:r>
        <w:rPr>
          <w:bCs/>
          <w:b/>
        </w:rPr>
        <w:t xml:space="preserve">Local Partner Network:</w:t>
      </w:r>
      <w:r>
        <w:t xml:space="preserve"> </w:t>
      </w:r>
      <w:r>
        <w:t xml:space="preserve">Partnered with Valencia Chamber of Commerce and local academic associations to co-host "Sales Fairs," generating 142 qualified leads in Q3 alone—a 45% increase from previous year's events.</w:t>
      </w:r>
    </w:p>
    <w:bookmarkEnd w:id="22"/>
    <w:bookmarkStart w:id="23" w:name="iv.-quantitative-performance-metrics"/>
    <w:p>
      <w:pPr>
        <w:pStyle w:val="Heading2"/>
      </w:pPr>
      <w:r>
        <w:t xml:space="preserve">IV. Quantitative Performance Metrics</w:t>
      </w:r>
    </w:p>
    <w:p>
      <w:pPr>
        <w:pStyle w:val="FirstParagraph"/>
      </w:pPr>
      <w:r>
        <w:t xml:space="preserve">KPI</w:t>
      </w:r>
    </w:p>
    <w:p>
      <w:pPr>
        <w:pStyle w:val="BodyText"/>
      </w:pPr>
      <w:r>
        <w:t xml:space="preserve">Target (Q3 2023)</w:t>
      </w:r>
    </w:p>
    <w:p>
      <w:pPr>
        <w:pStyle w:val="BodyText"/>
      </w:pPr>
      <w:r>
        <w:t xml:space="preserve">Actual (Q3 2023)</w:t>
      </w:r>
    </w:p>
    <w:p>
      <w:pPr>
        <w:pStyle w:val="BodyText"/>
      </w:pPr>
      <w:r>
        <w:t xml:space="preserve">Variance</w:t>
      </w:r>
    </w:p>
    <w:p>
      <w:pPr>
        <w:pStyle w:val="BodyText"/>
      </w:pPr>
      <w:r>
        <w:t xml:space="preserve">Lecturer Positions Filled</w:t>
      </w:r>
    </w:p>
    <w:p>
      <w:pPr>
        <w:pStyle w:val="BodyText"/>
      </w:pPr>
      <w:r>
        <w:t xml:space="preserve">47</w:t>
      </w:r>
    </w:p>
    <w:p>
      <w:pPr>
        <w:pStyle w:val="BodyText"/>
      </w:pPr>
      <w:r>
        <w:t xml:space="preserve">51</w:t>
      </w:r>
    </w:p>
    <w:p>
      <w:pPr>
        <w:pStyle w:val="BodyText"/>
      </w:pPr>
      <w:r>
        <w:t xml:space="preserve">+8.5%</w:t>
      </w:r>
    </w:p>
    <w:p>
      <w:pPr>
        <w:pStyle w:val="BodyText"/>
      </w:pPr>
      <w:r>
        <w:t xml:space="preserve">Time-to-Fill (Days)</w:t>
      </w:r>
    </w:p>
    <w:p>
      <w:pPr>
        <w:pStyle w:val="BodyText"/>
      </w:pPr>
      <w:r>
        <w:t xml:space="preserve">63</w:t>
      </w:r>
    </w:p>
    <w:p>
      <w:pPr>
        <w:pStyle w:val="BodyText"/>
      </w:pPr>
      <w:r>
        <w:t xml:space="preserve">&lt;</w:t>
      </w:r>
    </w:p>
    <w:p>
      <w:pPr>
        <w:pStyle w:val="BodyText"/>
      </w:pPr>
      <w:r>
        <w:t xml:space="preserve">49</w:t>
      </w:r>
    </w:p>
    <w:p>
      <w:pPr>
        <w:pStyle w:val="BodyText"/>
      </w:pPr>
      <w:r>
        <w:t xml:space="preserve">Candidate Conversion Rate from Outreach</w:t>
      </w:r>
    </w:p>
    <w:p>
      <w:pPr>
        <w:pStyle w:val="BodyText"/>
      </w:pPr>
      <w:r>
        <w:t xml:space="preserve">71%</w:t>
      </w:r>
    </w:p>
    <w:p>
      <w:pPr>
        <w:pStyle w:val="BodyText"/>
      </w:pPr>
      <w:r>
        <w:t xml:space="preserve">Notably, 89% of new University Lecturers secured through this Sales Report-driven process reported higher job satisfaction than peers hired via traditional channels. In Spain Valencia specifically, we achieved a 32% reduction in post-hire attrition within the first year—directly linked to our pre-employment "Sales" engagement strategy.</w:t>
      </w:r>
    </w:p>
    <w:bookmarkEnd w:id="23"/>
    <w:bookmarkStart w:id="24" w:name="X967906aa3606b7020faafb9180246897fe94bda"/>
    <w:p>
      <w:pPr>
        <w:pStyle w:val="Heading2"/>
      </w:pPr>
      <w:r>
        <w:t xml:space="preserve">V. Challenges &amp; Solutions: Spain Valencia Specifics</w:t>
      </w:r>
    </w:p>
    <w:p>
      <w:pPr>
        <w:pStyle w:val="FirstParagraph"/>
      </w:pPr>
      <w:r>
        <w:t xml:space="preserve">Valencia's unique academic environment presented distinct challenges, which we addressed through adaptive sales tactics:</w:t>
      </w:r>
    </w:p>
    <w:p>
      <w:pPr>
        <w:numPr>
          <w:ilvl w:val="0"/>
          <w:numId w:val="1002"/>
        </w:numPr>
        <w:pStyle w:val="Compact"/>
      </w:pPr>
      <w:r>
        <w:rPr>
          <w:bCs/>
          <w:b/>
        </w:rPr>
        <w:t xml:space="preserve">Language Barrier Solution:</w:t>
      </w:r>
      <w:r>
        <w:t xml:space="preserve"> </w:t>
      </w:r>
      <w:r>
        <w:t xml:space="preserve">All candidate communications included Valencian dialect options (e.g., "Benvingut/a" vs. "Bienvenido/a") for local candidates. This increased response rates by 37% in Valencia municipalities.</w:t>
      </w:r>
    </w:p>
    <w:p>
      <w:pPr>
        <w:numPr>
          <w:ilvl w:val="0"/>
          <w:numId w:val="1002"/>
        </w:numPr>
        <w:pStyle w:val="Compact"/>
      </w:pPr>
      <w:r>
        <w:rPr>
          <w:bCs/>
          <w:b/>
        </w:rPr>
        <w:t xml:space="preserve">Regional Competition:</w:t>
      </w:r>
      <w:r>
        <w:t xml:space="preserve"> </w:t>
      </w:r>
      <w:r>
        <w:t xml:space="preserve">Partnered with University of Valencia's Career Services to jointly host "Lecturer Opportunity Days," converting 68% of attendees into applications—beating Barcelona’s market conversion rate by 24%.</w:t>
      </w:r>
    </w:p>
    <w:p>
      <w:pPr>
        <w:numPr>
          <w:ilvl w:val="0"/>
          <w:numId w:val="1002"/>
        </w:numPr>
        <w:pStyle w:val="Compact"/>
      </w:pPr>
      <w:r>
        <w:rPr>
          <w:bCs/>
          <w:b/>
        </w:rPr>
        <w:t xml:space="preserve">Cultural Misalignment:</w:t>
      </w:r>
      <w:r>
        <w:t xml:space="preserve"> </w:t>
      </w:r>
      <w:r>
        <w:t xml:space="preserve">Developed Valencian-specific onboarding modules (e.g., "Understanding Comunidad Valenciana Academic Culture") that reduced first-year adjustment periods by 50%.</w:t>
      </w:r>
    </w:p>
    <w:bookmarkEnd w:id="24"/>
    <w:bookmarkStart w:id="25" w:name="X60d7958896d9202783e5b489038edb49dc04c94"/>
    <w:p>
      <w:pPr>
        <w:pStyle w:val="Heading2"/>
      </w:pPr>
      <w:r>
        <w:t xml:space="preserve">VI. ROI Analysis: Spain Valencia Market Impact</w:t>
      </w:r>
    </w:p>
    <w:p>
      <w:pPr>
        <w:pStyle w:val="FirstParagraph"/>
      </w:pPr>
      <w:r>
        <w:t xml:space="preserve">This Sales Report demonstrates tangible financial and strategic value for institutions in Spain Valencia:</w:t>
      </w:r>
    </w:p>
    <w:p>
      <w:pPr>
        <w:numPr>
          <w:ilvl w:val="0"/>
          <w:numId w:val="1003"/>
        </w:numPr>
        <w:pStyle w:val="Compact"/>
      </w:pPr>
      <w:r>
        <w:rPr>
          <w:bCs/>
          <w:b/>
        </w:rPr>
        <w:t xml:space="preserve">Cost Efficiency:</w:t>
      </w:r>
      <w:r>
        <w:t xml:space="preserve"> </w:t>
      </w:r>
      <w:r>
        <w:t xml:space="preserve">Reduced recruitment costs by €18,000 per lecturer versus national averages through targeted digital campaigns (e.g., LinkedIn ads geo-targeted to Valencian academic hubs).</w:t>
      </w:r>
    </w:p>
    <w:p>
      <w:pPr>
        <w:numPr>
          <w:ilvl w:val="0"/>
          <w:numId w:val="1003"/>
        </w:numPr>
        <w:pStyle w:val="Compact"/>
      </w:pPr>
      <w:r>
        <w:rPr>
          <w:bCs/>
          <w:b/>
        </w:rPr>
        <w:t xml:space="preserve">Strategic Alignment:</w:t>
      </w:r>
      <w:r>
        <w:t xml:space="preserve"> </w:t>
      </w:r>
      <w:r>
        <w:t xml:space="preserve">76% of hired lecturers now lead programs directly supported by Valencia's Regional Innovation Strategy (2023-2030), creating a direct sales pipeline for regional economic development.</w:t>
      </w:r>
    </w:p>
    <w:p>
      <w:pPr>
        <w:numPr>
          <w:ilvl w:val="0"/>
          <w:numId w:val="1003"/>
        </w:numPr>
        <w:pStyle w:val="Compact"/>
      </w:pPr>
      <w:r>
        <w:rPr>
          <w:bCs/>
          <w:b/>
        </w:rPr>
        <w:t xml:space="preserve">Sustainability Impact:</w:t>
      </w:r>
      <w:r>
        <w:t xml:space="preserve"> </w:t>
      </w:r>
      <w:r>
        <w:t xml:space="preserve">New lecturer roles in renewable energy engineering and biotechnology—prioritized in our Sales Plan—will support Valencia’s goal of 40% green campus adoption by 2025.</w:t>
      </w:r>
    </w:p>
    <w:bookmarkEnd w:id="25"/>
    <w:bookmarkStart w:id="26" w:name="X938f6919a74e7f1c81d087174c63b553ed549e0"/>
    <w:p>
      <w:pPr>
        <w:pStyle w:val="Heading2"/>
      </w:pPr>
      <w:r>
        <w:t xml:space="preserve">VII. Future Sales Roadmap for Spain Valencia</w:t>
      </w:r>
    </w:p>
    <w:p>
      <w:pPr>
        <w:pStyle w:val="FirstParagraph"/>
      </w:pPr>
      <w:r>
        <w:t xml:space="preserve">Based on this Sales Report data, we recommend these initiatives for Q4 2023 and beyond:</w:t>
      </w:r>
    </w:p>
    <w:p>
      <w:pPr>
        <w:numPr>
          <w:ilvl w:val="0"/>
          <w:numId w:val="1004"/>
        </w:numPr>
        <w:pStyle w:val="Compact"/>
      </w:pPr>
      <w:r>
        <w:rPr>
          <w:bCs/>
          <w:b/>
        </w:rPr>
        <w:t xml:space="preserve">AI-Powered Regional Talent Matching:</w:t>
      </w:r>
      <w:r>
        <w:t xml:space="preserve"> </w:t>
      </w:r>
      <w:r>
        <w:t xml:space="preserve">Implement AI tools analyzing Valencian university alumni networks to predict high-potential lecturer candidates (Project: "Valencia Talent Lens").</w:t>
      </w:r>
    </w:p>
    <w:p>
      <w:pPr>
        <w:numPr>
          <w:ilvl w:val="0"/>
          <w:numId w:val="1004"/>
        </w:numPr>
        <w:pStyle w:val="Compact"/>
      </w:pPr>
      <w:r>
        <w:rPr>
          <w:bCs/>
          <w:b/>
        </w:rPr>
        <w:t xml:space="preserve">Lecturer Ambassador Program:</w:t>
      </w:r>
      <w:r>
        <w:t xml:space="preserve"> </w:t>
      </w:r>
      <w:r>
        <w:t xml:space="preserve">Empower current University Lecturers in Spain Valencia to become brand advocates, generating 50% of new leads through peer referrals.</w:t>
      </w:r>
    </w:p>
    <w:p>
      <w:pPr>
        <w:numPr>
          <w:ilvl w:val="0"/>
          <w:numId w:val="1004"/>
        </w:numPr>
        <w:pStyle w:val="Compact"/>
      </w:pPr>
      <w:r>
        <w:rPr>
          <w:bCs/>
          <w:b/>
        </w:rPr>
        <w:t xml:space="preserve">Government Partnership Expansion:</w:t>
      </w:r>
      <w:r>
        <w:t xml:space="preserve"> </w:t>
      </w:r>
      <w:r>
        <w:t xml:space="preserve">Collaborate with Valencia’s Department of Education on a "Sales Incentive Fund" matching institutions' recruitment budgets for high-demand roles.</w:t>
      </w:r>
    </w:p>
    <w:bookmarkEnd w:id="26"/>
    <w:bookmarkStart w:id="27" w:name="viii.-conclusion"/>
    <w:p>
      <w:pPr>
        <w:pStyle w:val="Heading2"/>
      </w:pPr>
      <w:r>
        <w:t xml:space="preserve">VIII. Conclusion</w:t>
      </w:r>
    </w:p>
    <w:p>
      <w:pPr>
        <w:pStyle w:val="FirstParagraph"/>
      </w:pPr>
      <w:r>
        <w:t xml:space="preserve">This Sales Report confirms that strategic, regionally tailored recruitment is revolutionizing University Lecturer acquisition in Spain Valencia. By treating candidate engagement as a "sales process," we’ve not only met but surpassed our targets while aligning with Spain’s national academic priorities and Valencian cultural identity. The 87% fill rate across all disciplines—from linguistics to advanced engineering—proves that when Sales Report methodologies integrate deeply with local context, institutions in Spain Valencia gain a competitive edge in the global academic talent market. As we move into 2024, this model will serve as the blueprint for all university recruitment across Spain’s Mediterranean region. We are not merely filling positions; we are strategically selling the Valencia University Lecturer opportunity to become synonymous with academic excellence within Spain.</w:t>
      </w:r>
    </w:p>
    <w:p>
      <w:pPr>
        <w:pStyle w:val="BodyText"/>
      </w:pPr>
      <w:r>
        <w:rPr>
          <w:bCs/>
          <w:b/>
        </w:rPr>
        <w:t xml:space="preserve">Prepared By:</w:t>
      </w:r>
      <w:r>
        <w:t xml:space="preserve"> </w:t>
      </w:r>
      <w:r>
        <w:t xml:space="preserve">Global Academic Recruitment Solutions (GARS) |</w:t>
      </w:r>
      <w:r>
        <w:t xml:space="preserve"> </w:t>
      </w:r>
      <w:r>
        <w:rPr>
          <w:bCs/>
          <w:b/>
        </w:rPr>
        <w:t xml:space="preserve">Region:</w:t>
      </w:r>
      <w:r>
        <w:t xml:space="preserve"> </w:t>
      </w:r>
      <w:r>
        <w:t xml:space="preserve">Spain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Valencia Spain</dc:title>
  <dc:creator/>
  <dc:language>en</dc:language>
  <cp:keywords/>
  <dcterms:created xsi:type="dcterms:W3CDTF">2026-07-21T03:25:55Z</dcterms:created>
  <dcterms:modified xsi:type="dcterms:W3CDTF">2026-07-21T03:25:55Z</dcterms:modified>
</cp:coreProperties>
</file>

<file path=docProps/custom.xml><?xml version="1.0" encoding="utf-8"?>
<Properties xmlns="http://schemas.openxmlformats.org/officeDocument/2006/custom-properties" xmlns:vt="http://schemas.openxmlformats.org/officeDocument/2006/docPropsVTypes"/>
</file>