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Drive</w:t>
      </w:r>
      <w:r>
        <w:t xml:space="preserve"> </w:t>
      </w:r>
      <w:r>
        <w:t xml:space="preserve">-</w:t>
      </w:r>
      <w:r>
        <w:t xml:space="preserve"> </w:t>
      </w:r>
      <w:r>
        <w:t xml:space="preserve">Ankara,</w:t>
      </w:r>
      <w:r>
        <w:t xml:space="preserve"> </w:t>
      </w:r>
      <w:r>
        <w:t xml:space="preserve">Turkey</w:t>
      </w:r>
    </w:p>
    <w:bookmarkStart w:id="29" w:name="X7ff1c46a0711def31bc5130f786053f829df351"/>
    <w:p>
      <w:pPr>
        <w:pStyle w:val="Heading1"/>
      </w:pPr>
      <w:r>
        <w:t xml:space="preserve">ANNUAL SALES REPORT: UNIVERSITY LECTURER RECRUITMENT DRIVE</w:t>
      </w:r>
      <w:r>
        <w:br/>
      </w:r>
      <w:r>
        <w:t xml:space="preserve">ANKARA,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Leadership Council, Ankara Higher Education Institutions Consortium</w:t>
      </w:r>
      <w:r>
        <w:br/>
      </w:r>
      <w:r>
        <w:rPr>
          <w:bCs/>
          <w:b/>
        </w:rPr>
        <w:t xml:space="preserve">Purpose:</w:t>
      </w:r>
      <w:r>
        <w:t xml:space="preserve"> </w:t>
      </w:r>
      <w:r>
        <w:t xml:space="preserve">Comprehensive analysis of lecturer recruitment performance for the academic year 2023-2024 in Ankara, Turkey</w:t>
      </w:r>
    </w:p>
    <w:bookmarkStart w:id="20" w:name="i.-executive-summary"/>
    <w:p>
      <w:pPr>
        <w:pStyle w:val="Heading2"/>
      </w:pPr>
      <w:r>
        <w:t xml:space="preserve">I. Executive Summary</w:t>
      </w:r>
    </w:p>
    <w:p>
      <w:pPr>
        <w:pStyle w:val="FirstParagraph"/>
      </w:pPr>
      <w:r>
        <w:t xml:space="preserve">This Sales Report details the strategic recruitment campaign for University Lecturer positions across major higher education institutions in Ankara, Turkey. Despite challenging economic conditions and heightened competition for academic talent within the Turkish education sector, our targeted sales initiatives achieved a 37% increase in qualified applicant submissions compared to 2022. The campaign successfully filled 48 of 56 required lecturer positions across engineering, business administration, and social sciences departments—exceeding our annual target by 15%. Critically, this performance established Ankara as Turkey's most efficient hub for academic recruitment in Central Anatolia, with a remarkable 92% retention rate among newly appointed University Lecturers during their first semester.</w:t>
      </w:r>
    </w:p>
    <w:bookmarkEnd w:id="20"/>
    <w:bookmarkStart w:id="21" w:name="X9f4d3f015cb87debee9f4b46857c8261b98b8f8"/>
    <w:p>
      <w:pPr>
        <w:pStyle w:val="Heading2"/>
      </w:pPr>
      <w:r>
        <w:t xml:space="preserve">II. Market Context: Turkey Ankara Academic Landscape</w:t>
      </w:r>
    </w:p>
    <w:p>
      <w:pPr>
        <w:pStyle w:val="FirstParagraph"/>
      </w:pPr>
      <w:r>
        <w:t xml:space="preserve">Ankara serves as the political and academic epicenter of Turkey, housing 17 major universities including Hacettepe University, Middle East Technical University (METU), and Ankara University. The 2023 National Education Strategy Report identifies a critical shortage of qualified University Lecturers in STEM fields (+42% demand surge) and digital humanities (+58%). Against this backdrop, our Sales Report focuses on Ankara's unique market dynamics:</w:t>
      </w:r>
    </w:p>
    <w:p>
      <w:pPr>
        <w:numPr>
          <w:ilvl w:val="0"/>
          <w:numId w:val="1001"/>
        </w:numPr>
        <w:pStyle w:val="Compact"/>
      </w:pPr>
      <w:r>
        <w:rPr>
          <w:bCs/>
          <w:b/>
        </w:rPr>
        <w:t xml:space="preserve">Geographic Advantage:</w:t>
      </w:r>
      <w:r>
        <w:t xml:space="preserve"> </w:t>
      </w:r>
      <w:r>
        <w:t xml:space="preserve">Ankara's status as Turkey's capital attracts 63% of national academic applicants, with 78% preferring permanent positions over temporary roles.</w:t>
      </w:r>
    </w:p>
    <w:p>
      <w:pPr>
        <w:numPr>
          <w:ilvl w:val="0"/>
          <w:numId w:val="1001"/>
        </w:numPr>
        <w:pStyle w:val="Compact"/>
      </w:pPr>
      <w:r>
        <w:rPr>
          <w:bCs/>
          <w:b/>
        </w:rPr>
        <w:t xml:space="preserve">Cultural Alignment:</w:t>
      </w:r>
      <w:r>
        <w:t xml:space="preserve"> </w:t>
      </w:r>
      <w:r>
        <w:t xml:space="preserve">Candidates prioritize institutions demonstrating Turkish educational values—particularly in curriculum development and student mentorship.</w:t>
      </w:r>
    </w:p>
    <w:p>
      <w:pPr>
        <w:numPr>
          <w:ilvl w:val="0"/>
          <w:numId w:val="1001"/>
        </w:numPr>
        <w:pStyle w:val="Compact"/>
      </w:pPr>
      <w:r>
        <w:rPr>
          <w:bCs/>
          <w:b/>
        </w:rPr>
        <w:t xml:space="preserve">Economic Factors:</w:t>
      </w:r>
      <w:r>
        <w:t xml:space="preserve"> </w:t>
      </w:r>
      <w:r>
        <w:t xml:space="preserve">Salary competitiveness (averaging ₺125,000 monthly gross) remains pivotal in Ankara's recruitment success versus Istanbul's 28% higher cost of living.</w:t>
      </w:r>
    </w:p>
    <w:bookmarkEnd w:id="21"/>
    <w:bookmarkStart w:id="24" w:name="iii.-sales-strategy-implementation"/>
    <w:p>
      <w:pPr>
        <w:pStyle w:val="Heading2"/>
      </w:pPr>
      <w:r>
        <w:t xml:space="preserve">III. Sales Strategy &amp; Implementation</w:t>
      </w:r>
    </w:p>
    <w:p>
      <w:pPr>
        <w:pStyle w:val="FirstParagraph"/>
      </w:pPr>
      <w:r>
        <w:t xml:space="preserve">Our University Lecturer recruitment campaign deployed a multi-channel sales approach tailored to Turkey's academic ecosystem:</w:t>
      </w:r>
    </w:p>
    <w:bookmarkStart w:id="22" w:name="Xa83cca4fef4af57626b01b9dc29beaceecc3a94"/>
    <w:p>
      <w:pPr>
        <w:pStyle w:val="Heading3"/>
      </w:pPr>
      <w:r>
        <w:t xml:space="preserve">A. Targeted Candidate Acquisition (Digital Sales Funnel)</w:t>
      </w:r>
    </w:p>
    <w:p>
      <w:pPr>
        <w:numPr>
          <w:ilvl w:val="0"/>
          <w:numId w:val="1002"/>
        </w:numPr>
        <w:pStyle w:val="Compact"/>
      </w:pPr>
      <w:r>
        <w:rPr>
          <w:bCs/>
          <w:b/>
        </w:rPr>
        <w:t xml:space="preserve">LinkedIn/Ankara Academic Network Campaigns:</w:t>
      </w:r>
      <w:r>
        <w:t xml:space="preserve"> </w:t>
      </w:r>
      <w:r>
        <w:t xml:space="preserve">Geo-targeted ads reaching 22,000 Turkish scholars in Ankara with personalized messaging emphasizing "permanent academic career path" and department-specific research grants.</w:t>
      </w:r>
    </w:p>
    <w:p>
      <w:pPr>
        <w:numPr>
          <w:ilvl w:val="0"/>
          <w:numId w:val="1002"/>
        </w:numPr>
        <w:pStyle w:val="Compact"/>
      </w:pPr>
      <w:r>
        <w:rPr>
          <w:bCs/>
          <w:b/>
        </w:rPr>
        <w:t xml:space="preserve">University Consortium Partnerships:</w:t>
      </w:r>
      <w:r>
        <w:t xml:space="preserve"> </w:t>
      </w:r>
      <w:r>
        <w:t xml:space="preserve">Co-branded recruitment events at METU and Ankara University's Career Center, generating 317 qualified leads (vs. 189 in 2022).</w:t>
      </w:r>
    </w:p>
    <w:p>
      <w:pPr>
        <w:numPr>
          <w:ilvl w:val="0"/>
          <w:numId w:val="1002"/>
        </w:numPr>
        <w:pStyle w:val="Compact"/>
      </w:pPr>
      <w:r>
        <w:rPr>
          <w:bCs/>
          <w:b/>
        </w:rPr>
        <w:t xml:space="preserve">National Academic Portal Integration:</w:t>
      </w:r>
      <w:r>
        <w:t xml:space="preserve"> </w:t>
      </w:r>
      <w:r>
        <w:t xml:space="preserve">Featured prominently on Türkiye Bursları (Turkish Scholarships) portal—a strategic move capturing applicants already vetted for Turkish higher education standards.</w:t>
      </w:r>
    </w:p>
    <w:bookmarkEnd w:id="22"/>
    <w:bookmarkStart w:id="23" w:name="b.-value-proposition-refinement"/>
    <w:p>
      <w:pPr>
        <w:pStyle w:val="Heading3"/>
      </w:pPr>
      <w:r>
        <w:t xml:space="preserve">B. Value Proposition Refinement</w:t>
      </w:r>
    </w:p>
    <w:p>
      <w:pPr>
        <w:pStyle w:val="FirstParagraph"/>
      </w:pPr>
      <w:r>
        <w:t xml:space="preserve">Our Sales Report reveals that positioning the University Lecturer role as a "strategic career investment" drove 68% of successful conversions. Key value pillars included:</w:t>
      </w:r>
    </w:p>
    <w:p>
      <w:pPr>
        <w:numPr>
          <w:ilvl w:val="0"/>
          <w:numId w:val="1003"/>
        </w:numPr>
        <w:pStyle w:val="Compact"/>
      </w:pPr>
      <w:r>
        <w:rPr>
          <w:bCs/>
          <w:b/>
        </w:rPr>
        <w:t xml:space="preserve">Research Enablement:</w:t>
      </w:r>
      <w:r>
        <w:t xml:space="preserve"> </w:t>
      </w:r>
      <w:r>
        <w:t xml:space="preserve">Guaranteed ₺50,000 annual research budget for new lecturers in priority fields (engineering, AI, renewable energy).</w:t>
      </w:r>
    </w:p>
    <w:p>
      <w:pPr>
        <w:numPr>
          <w:ilvl w:val="0"/>
          <w:numId w:val="1003"/>
        </w:numPr>
        <w:pStyle w:val="Compact"/>
      </w:pPr>
      <w:r>
        <w:rPr>
          <w:bCs/>
          <w:b/>
        </w:rPr>
        <w:t xml:space="preserve">Cultural Integration Support:</w:t>
      </w:r>
      <w:r>
        <w:t xml:space="preserve"> </w:t>
      </w:r>
      <w:r>
        <w:t xml:space="preserve">Mandatory Turkish language training + Ankara cultural orientation for international candidates.</w:t>
      </w:r>
    </w:p>
    <w:p>
      <w:pPr>
        <w:numPr>
          <w:ilvl w:val="0"/>
          <w:numId w:val="1003"/>
        </w:numPr>
        <w:pStyle w:val="Compact"/>
      </w:pPr>
      <w:r>
        <w:rPr>
          <w:bCs/>
          <w:b/>
        </w:rPr>
        <w:t xml:space="preserve">Professional Development Pathways:</w:t>
      </w:r>
      <w:r>
        <w:t xml:space="preserve"> </w:t>
      </w:r>
      <w:r>
        <w:t xml:space="preserve">Explicit promotion track to Associate Professor within 4 years (vs. national average of 7 years).</w:t>
      </w:r>
    </w:p>
    <w:bookmarkEnd w:id="23"/>
    <w:bookmarkEnd w:id="24"/>
    <w:bookmarkStart w:id="25" w:name="X2559b18ac96faaa15ae345befead9808b237593"/>
    <w:p>
      <w:pPr>
        <w:pStyle w:val="Heading2"/>
      </w:pPr>
      <w:r>
        <w:t xml:space="preserve">IV. Performance Metrics: Sales Report Analysis</w:t>
      </w:r>
    </w:p>
    <w:p>
      <w:pPr>
        <w:pStyle w:val="FirstParagraph"/>
      </w:pPr>
      <w:r>
        <w:t xml:space="preserve">The following metrics demonstrate exceptional performance in Turkey Ankara's academic recruitment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2023 Target</w:t>
            </w:r>
          </w:p>
        </w:tc>
        <w:tc>
          <w:tcPr/>
          <w:p>
            <w:pPr>
              <w:pStyle w:val="Compact"/>
              <w:jc w:val="left"/>
            </w:pPr>
            <w:r>
              <w:t xml:space="preserve">Actual 2023</w:t>
            </w:r>
          </w:p>
        </w:tc>
        <w:tc>
          <w:tcPr/>
          <w:p>
            <w:pPr>
              <w:pStyle w:val="Compact"/>
              <w:jc w:val="left"/>
            </w:pPr>
            <w:r>
              <w:t xml:space="preserve">Δ vs Target</w:t>
            </w:r>
          </w:p>
        </w:tc>
      </w:tr>
      <w:tr>
        <w:tc>
          <w:tcPr/>
          <w:p>
            <w:pPr>
              <w:pStyle w:val="Compact"/>
              <w:jc w:val="left"/>
            </w:pPr>
            <w:r>
              <w:t xml:space="preserve">Qualified Applications (Ankara)</w:t>
            </w:r>
          </w:p>
        </w:tc>
        <w:tc>
          <w:tcPr/>
          <w:p>
            <w:pPr>
              <w:pStyle w:val="Compact"/>
              <w:jc w:val="left"/>
            </w:pPr>
            <w:r>
              <w:t xml:space="preserve">850</w:t>
            </w:r>
          </w:p>
        </w:tc>
        <w:tc>
          <w:tcPr/>
          <w:p>
            <w:pPr>
              <w:pStyle w:val="Compact"/>
              <w:jc w:val="left"/>
            </w:pPr>
            <w:r>
              <w:t xml:space="preserve">1,164</w:t>
            </w:r>
          </w:p>
        </w:tc>
        <w:tc>
          <w:tcPr/>
          <w:p>
            <w:pPr>
              <w:pStyle w:val="Compact"/>
              <w:jc w:val="left"/>
            </w:pPr>
            <w:r>
              <w:t xml:space="preserve">+36.9%</w:t>
            </w:r>
          </w:p>
        </w:tc>
      </w:tr>
      <w:tr>
        <w:tc>
          <w:tcPr/>
          <w:p>
            <w:pPr>
              <w:pStyle w:val="Compact"/>
              <w:jc w:val="left"/>
            </w:pPr>
            <w:r>
              <w:t xml:space="preserve">Lecturer Positions Filled</w:t>
            </w:r>
          </w:p>
        </w:tc>
        <w:tc>
          <w:tcPr/>
          <w:p>
            <w:pPr>
              <w:pStyle w:val="Compact"/>
              <w:jc w:val="left"/>
            </w:pPr>
            <w:r>
              <w:t xml:space="preserve">40</w:t>
            </w:r>
          </w:p>
        </w:tc>
        <w:tc>
          <w:tcPr/>
          <w:p>
            <w:pPr>
              <w:pStyle w:val="Compact"/>
              <w:jc w:val="left"/>
            </w:pPr>
            <w:r>
              <w:t xml:space="preserve">48</w:t>
            </w:r>
          </w:p>
        </w:tc>
        <w:tc>
          <w:tcPr/>
          <w:p>
            <w:pPr>
              <w:pStyle w:val="Compact"/>
              <w:jc w:val="left"/>
            </w:pPr>
            <w:r>
              <w:t xml:space="preserve">+20.0%</w:t>
            </w:r>
          </w:p>
        </w:tc>
      </w:tr>
      <w:tr>
        <w:tc>
          <w:tcPr/>
          <w:p>
            <w:pPr>
              <w:pStyle w:val="Compact"/>
              <w:jc w:val="left"/>
            </w:pPr>
            <w:r>
              <w:t xml:space="preserve">Candidate Conversion Rate</w:t>
            </w:r>
          </w:p>
        </w:tc>
        <w:tc>
          <w:tcPr/>
          <w:p>
            <w:pPr>
              <w:pStyle w:val="Compact"/>
              <w:jc w:val="left"/>
            </w:pPr>
            <w:r>
              <w:t xml:space="preserve">18%</w:t>
            </w:r>
            <w:r>
              <w:t xml:space="preserve">32.5% (exceeding target by 81%)</w:t>
            </w:r>
          </w:p>
        </w:tc>
        <w:tc>
          <w:tcPr/>
          <w:p>
            <w:pPr>
              <w:pStyle w:val="Compact"/>
            </w:pPr>
          </w:p>
        </w:tc>
        <w:tc>
          <w:tcPr/>
          <w:p>
            <w:pPr>
              <w:pStyle w:val="Compact"/>
            </w:pPr>
          </w:p>
        </w:tc>
      </w:tr>
      <w:tr>
        <w:tc>
          <w:tcPr/>
          <w:p>
            <w:pPr>
              <w:pStyle w:val="Compact"/>
              <w:jc w:val="left"/>
            </w:pPr>
            <w:r>
              <w:t xml:space="preserve">First-Semester Retention</w:t>
            </w:r>
          </w:p>
        </w:tc>
        <w:tc>
          <w:tcPr/>
          <w:p>
            <w:pPr>
              <w:pStyle w:val="Compact"/>
              <w:jc w:val="left"/>
            </w:pPr>
            <w:r>
              <w:t xml:space="preserve">75%</w:t>
            </w:r>
          </w:p>
        </w:tc>
        <w:tc>
          <w:tcPr/>
          <w:p>
            <w:pPr>
              <w:pStyle w:val="Compact"/>
              <w:jc w:val="left"/>
            </w:pPr>
            <w:r>
              <w:t xml:space="preserve">92%</w:t>
            </w:r>
          </w:p>
        </w:tc>
        <w:tc>
          <w:tcPr/>
          <w:p>
            <w:pPr>
              <w:pStyle w:val="Compact"/>
              <w:jc w:val="left"/>
            </w:pPr>
            <w:r>
              <w:t xml:space="preserve">+17 points</w:t>
            </w:r>
          </w:p>
        </w:tc>
      </w:tr>
    </w:tbl>
    <w:bookmarkEnd w:id="25"/>
    <w:bookmarkStart w:id="26" w:name="v.-key-challenges-strategic-adaptations"/>
    <w:p>
      <w:pPr>
        <w:pStyle w:val="Heading2"/>
      </w:pPr>
      <w:r>
        <w:t xml:space="preserve">V. Key Challenges &amp; Strategic Adaptations</w:t>
      </w:r>
    </w:p>
    <w:p>
      <w:pPr>
        <w:pStyle w:val="FirstParagraph"/>
      </w:pPr>
      <w:r>
        <w:t xml:space="preserve">The Sales Report identifies two critical challenges overcome through agile sales tactics:</w:t>
      </w:r>
    </w:p>
    <w:p>
      <w:pPr>
        <w:pStyle w:val="BodyText"/>
      </w:pPr>
      <w:r>
        <w:rPr>
          <w:bCs/>
          <w:b/>
        </w:rPr>
        <w:t xml:space="preserve">Challenge 1: High Competition for Top Talent in Ankara</w:t>
      </w:r>
      <w:r>
        <w:br/>
      </w:r>
      <w:r>
        <w:t xml:space="preserve">Istanbul-based universities offered 15% higher starting salaries, threatening our candidate pipeline. Our solution: Enhanced Turkey-specific value proposition emphasizing Ankara's lower cost of living (32% below Istanbul), government-subsidized housing near campus, and political stability—key factors for 89% of successful hires.</w:t>
      </w:r>
    </w:p>
    <w:p>
      <w:pPr>
        <w:pStyle w:val="BodyText"/>
      </w:pPr>
      <w:r>
        <w:rPr>
          <w:bCs/>
          <w:b/>
        </w:rPr>
        <w:t xml:space="preserve">Challenge 2: Language Barriers in International Recruitment</w:t>
      </w:r>
      <w:r>
        <w:br/>
      </w:r>
      <w:r>
        <w:t xml:space="preserve">41% of qualified candidates were non-native Turkish speakers. We deployed a bilingual (Turkish/English) sales team for all candidate interactions and developed Turkey Ankara-specific onboarding modules—reducing new lecturer ramp-up time by 53%.</w:t>
      </w:r>
    </w:p>
    <w:bookmarkEnd w:id="26"/>
    <w:bookmarkStart w:id="27" w:name="X6be3b4294d04aa190061fcbc09509650048a0c7"/>
    <w:p>
      <w:pPr>
        <w:pStyle w:val="Heading2"/>
      </w:pPr>
      <w:r>
        <w:t xml:space="preserve">VI. Recommendations: Future Sales Strategy for University Lecturer Roles</w:t>
      </w:r>
    </w:p>
    <w:p>
      <w:pPr>
        <w:pStyle w:val="FirstParagraph"/>
      </w:pPr>
      <w:r>
        <w:t xml:space="preserve">Based on this year's Sales Report, we recommend:</w:t>
      </w:r>
    </w:p>
    <w:p>
      <w:pPr>
        <w:numPr>
          <w:ilvl w:val="0"/>
          <w:numId w:val="1004"/>
        </w:numPr>
        <w:pStyle w:val="Compact"/>
      </w:pPr>
      <w:r>
        <w:rPr>
          <w:bCs/>
          <w:b/>
        </w:rPr>
        <w:t xml:space="preserve">Expand Ankara Regional Recruitment Hubs:</w:t>
      </w:r>
      <w:r>
        <w:t xml:space="preserve"> </w:t>
      </w:r>
      <w:r>
        <w:t xml:space="preserve">Establish satellite offices in Eskişehir and Konya to access 120,000+ qualified applicants outside Ankara with 35% lower recruitment costs.</w:t>
      </w:r>
    </w:p>
    <w:p>
      <w:pPr>
        <w:numPr>
          <w:ilvl w:val="0"/>
          <w:numId w:val="1004"/>
        </w:numPr>
        <w:pStyle w:val="Compact"/>
      </w:pPr>
      <w:r>
        <w:rPr>
          <w:bCs/>
          <w:b/>
        </w:rPr>
        <w:t xml:space="preserve">Leverage Government Partnerships:</w:t>
      </w:r>
      <w:r>
        <w:t xml:space="preserve"> </w:t>
      </w:r>
      <w:r>
        <w:t xml:space="preserve">Collaborate with Ministry of National Education on the "Ankara Academic Excellence Award" to boost candidate trust and brand credibility.</w:t>
      </w:r>
    </w:p>
    <w:p>
      <w:pPr>
        <w:numPr>
          <w:ilvl w:val="0"/>
          <w:numId w:val="1004"/>
        </w:numPr>
        <w:pStyle w:val="Compact"/>
      </w:pPr>
      <w:r>
        <w:rPr>
          <w:bCs/>
          <w:b/>
        </w:rPr>
        <w:t xml:space="preserve">Implement AI-Powered Sales Analytics:</w:t>
      </w:r>
      <w:r>
        <w:t xml:space="preserve"> </w:t>
      </w:r>
      <w:r>
        <w:t xml:space="preserve">Deploy predictive modeling for Ankara-specific market trends—projected 20% higher fill rates for STEM lecturer roles in 2024.</w:t>
      </w:r>
    </w:p>
    <w:bookmarkEnd w:id="27"/>
    <w:bookmarkStart w:id="28" w:name="vii.-conclusion-the-ankara-advantage"/>
    <w:p>
      <w:pPr>
        <w:pStyle w:val="Heading2"/>
      </w:pPr>
      <w:r>
        <w:t xml:space="preserve">VII. Conclusion: The Ankara Advantage</w:t>
      </w:r>
    </w:p>
    <w:p>
      <w:pPr>
        <w:pStyle w:val="FirstParagraph"/>
      </w:pPr>
      <w:r>
        <w:t xml:space="preserve">This Sales Report conclusively demonstrates that strategic recruitment of University Lecturers in Turkey Ankara is not merely operational— it's a competitive advantage. Our campaign transformed the perception of lecturer roles from "job opportunities" to "career catalysts," directly aligning with Turkey's National Education 2030 Vision. The success metrics—particularly the 92% retention rate and 37% applicant growth—prove that when recruitment strategies authentically reflect Ankara's unique academic ecosystem, institutions achieve sustainable talent acquisition in one of Turkey's most competitive education markets.</w:t>
      </w:r>
    </w:p>
    <w:p>
      <w:pPr>
        <w:pStyle w:val="BodyText"/>
      </w:pPr>
      <w:r>
        <w:t xml:space="preserve">As we prepare for the 2024-2025 academic year, our sales strategy will double down on Ankara as Turkey's premier hub for developing world-class University Lecturers. This commitment ensures Turkish higher education institutions maintain global competitiveness while honoring national educational values—a dual mandate that has cemented Ankara's position at the forefront of academic talent acquisition in Turkey.</w:t>
      </w:r>
    </w:p>
    <w:p>
      <w:pPr>
        <w:pStyle w:val="BodyText"/>
      </w:pPr>
      <w:r>
        <w:rPr>
          <w:iCs/>
          <w:i/>
        </w:rPr>
        <w:t xml:space="preserve">Prepared by: Academic Talent Solutions Division, Ankara</w:t>
      </w:r>
      <w:r>
        <w:br/>
      </w:r>
      <w:r>
        <w:rPr>
          <w:iCs/>
          <w:i/>
        </w:rPr>
        <w:t xml:space="preserve">Approved by: Ministry of National Education, Republic of Turkey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University Lecturer Recruitment Drive - Ankara, Turkey</dc:title>
  <dc:creator/>
  <dc:language>en</dc:language>
  <cp:keywords/>
  <dcterms:created xsi:type="dcterms:W3CDTF">2026-07-23T09:48:07Z</dcterms:created>
  <dcterms:modified xsi:type="dcterms:W3CDTF">2026-07-23T09:48:07Z</dcterms:modified>
</cp:coreProperties>
</file>

<file path=docProps/custom.xml><?xml version="1.0" encoding="utf-8"?>
<Properties xmlns="http://schemas.openxmlformats.org/officeDocument/2006/custom-properties" xmlns:vt="http://schemas.openxmlformats.org/officeDocument/2006/docPropsVTypes"/>
</file>