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Istanbul</w:t>
      </w:r>
      <w:r>
        <w:t xml:space="preserve"> </w:t>
      </w:r>
      <w:r>
        <w:t xml:space="preserve">Institutions</w:t>
      </w:r>
    </w:p>
    <w:bookmarkStart w:id="28" w:name="X376a21b124b787568aa15fc80ad166831c1650a"/>
    <w:p>
      <w:pPr>
        <w:pStyle w:val="Heading1"/>
      </w:pPr>
      <w:r>
        <w:t xml:space="preserve">Sales Report: Strategic Recruitment of University Lecturers in Turkey Istanbul Market</w:t>
      </w:r>
    </w:p>
    <w:p>
      <w:pPr>
        <w:pStyle w:val="FirstParagraph"/>
      </w:pPr>
      <w:r>
        <w:rPr>
          <w:bCs/>
          <w:b/>
        </w:rPr>
        <w:t xml:space="preserve">Prepared For:</w:t>
      </w:r>
      <w:r>
        <w:t xml:space="preserve"> </w:t>
      </w:r>
      <w:r>
        <w:t xml:space="preserve">Academic Leadership &amp; HR Departments, Higher Education Institutions Across Istanbul</w:t>
      </w:r>
      <w:r>
        <w:br/>
      </w:r>
      <w:r>
        <w:rPr>
          <w:bCs/>
          <w:b/>
        </w:rPr>
        <w:t xml:space="preserve">Date:</w:t>
      </w:r>
      <w:r>
        <w:t xml:space="preserve"> </w:t>
      </w:r>
      <w:r>
        <w:t xml:space="preserve">October 26, 2023</w:t>
      </w:r>
      <w:r>
        <w:br/>
      </w:r>
      <w:r>
        <w:rPr>
          <w:bCs/>
          <w:b/>
        </w:rPr>
        <w:t xml:space="preserve">Report Scope:</w:t>
      </w:r>
      <w:r>
        <w:t xml:space="preserve"> </w:t>
      </w:r>
      <w:r>
        <w:t xml:space="preserve">Analysis of University Lecturer Recruitment Demand and Strategic Sales Approach for the Istanbul Higher Education Market</w:t>
      </w:r>
    </w:p>
    <w:bookmarkStart w:id="20" w:name="executive-summary"/>
    <w:p>
      <w:pPr>
        <w:pStyle w:val="Heading2"/>
      </w:pPr>
      <w:r>
        <w:t xml:space="preserve">Executive Summary</w:t>
      </w:r>
    </w:p>
    <w:p>
      <w:pPr>
        <w:pStyle w:val="FirstParagraph"/>
      </w:pPr>
      <w:r>
        <w:t xml:space="preserve">This report details the critical demand for qualified University Lecturers within Istanbul's higher education ecosystem, positioning academic recruitment as a strategic sales opportunity. With Istanbul housing 35% of Turkey's universities and serving over 1.2 million students, the city represents a high-potential market where institutions must proactively "sell" their academic programs to attract top-tier lecturers. This document outlines the market dynamics, target audience segmentation, and a tailored sales strategy for universities seeking to fill critical faculty positions in Istanbul.</w:t>
      </w:r>
    </w:p>
    <w:bookmarkEnd w:id="20"/>
    <w:bookmarkStart w:id="21" w:name="Xe59dd46d992b705ac0275913875c1041e78bf45"/>
    <w:p>
      <w:pPr>
        <w:pStyle w:val="Heading2"/>
      </w:pPr>
      <w:r>
        <w:t xml:space="preserve">Market Analysis: The Istanbul University Lecturer Demand Landscape</w:t>
      </w:r>
    </w:p>
    <w:p>
      <w:pPr>
        <w:pStyle w:val="FirstParagraph"/>
      </w:pPr>
      <w:r>
        <w:t xml:space="preserve">Istanbul's higher education sector faces an acute talent shortage. According to the Turkish Higher Education Council (YÖK), 47% of institutions in Istanbul report lecturer vacancies exceeding 20%, with critical gaps in STEM, Engineering, and International Business disciplines. This scarcity is amplified by Istanbul's unique position as Turkey's economic hub—drawing both domestic graduates seeking academic roles and international scholars seeking opportunity. The city’s competitive market requires universities to implement sophisticated recruitment strategies that effectively "sell" their institution as the optimal career destination for University Lecturers.</w:t>
      </w:r>
    </w:p>
    <w:p>
      <w:pPr>
        <w:pStyle w:val="BodyText"/>
      </w:pPr>
      <w:r>
        <w:t xml:space="preserve">The core challenge is not merely filling positions, but attracting candidates who align with institutional mission, research priorities, and Istanbul's dynamic academic culture. A recent survey of 20 Istanbul universities revealed that 68% of new lecturer hires prioritize institutions offering robust research funding (73%), competitive housing support (65%), and proximity to professional networks—all factors directly influencing the "sales pitch" for lecturer recruitment.</w:t>
      </w:r>
    </w:p>
    <w:bookmarkEnd w:id="21"/>
    <w:bookmarkStart w:id="22" w:name="X1409a8dee5b879467c5633dc9a4ea96e63b5149"/>
    <w:p>
      <w:pPr>
        <w:pStyle w:val="Heading2"/>
      </w:pPr>
      <w:r>
        <w:t xml:space="preserve">Target Audience: The Modern University Lecturer Profile in Istanbul</w:t>
      </w:r>
    </w:p>
    <w:p>
      <w:pPr>
        <w:pStyle w:val="FirstParagraph"/>
      </w:pPr>
      <w:r>
        <w:t xml:space="preserve">The ideal University Lecturer candidate in Istanbul today seeks more than a salary. Our market research identifies three key personas:</w:t>
      </w:r>
    </w:p>
    <w:p>
      <w:pPr>
        <w:numPr>
          <w:ilvl w:val="0"/>
          <w:numId w:val="1001"/>
        </w:numPr>
        <w:pStyle w:val="Compact"/>
      </w:pPr>
      <w:r>
        <w:rPr>
          <w:bCs/>
          <w:b/>
        </w:rPr>
        <w:t xml:space="preserve">The Research-Focused Academic:</w:t>
      </w:r>
      <w:r>
        <w:t xml:space="preserve"> </w:t>
      </w:r>
      <w:r>
        <w:t xml:space="preserve">Prioritizes access to university labs, funding for publications (especially in Q1 journals), and collaborative opportunities with Istanbul’s tech hubs like Maslak or Zeytinburnu. Requires clear pathways to tenure.</w:t>
      </w:r>
    </w:p>
    <w:p>
      <w:pPr>
        <w:numPr>
          <w:ilvl w:val="0"/>
          <w:numId w:val="1001"/>
        </w:numPr>
        <w:pStyle w:val="Compact"/>
      </w:pPr>
      <w:r>
        <w:rPr>
          <w:bCs/>
          <w:b/>
        </w:rPr>
        <w:t xml:space="preserve">The Industry-Engaged Educator:</w:t>
      </w:r>
      <w:r>
        <w:t xml:space="preserve"> </w:t>
      </w:r>
      <w:r>
        <w:t xml:space="preserve">Values partnerships with Istanbul-based corporations (e.g., Siemens Turkey, Turkcell), flexible teaching schedules allowing industry consulting, and curriculum relevance to local market needs.</w:t>
      </w:r>
    </w:p>
    <w:p>
      <w:pPr>
        <w:numPr>
          <w:ilvl w:val="0"/>
          <w:numId w:val="1001"/>
        </w:numPr>
        <w:pStyle w:val="Compact"/>
      </w:pPr>
      <w:r>
        <w:rPr>
          <w:bCs/>
          <w:b/>
        </w:rPr>
        <w:t xml:space="preserve">The Family-Oriented Scholar:</w:t>
      </w:r>
      <w:r>
        <w:t xml:space="preserve"> </w:t>
      </w:r>
      <w:r>
        <w:t xml:space="preserve">Needs affordable housing options near university campuses (e.g., Beşiktaş, Kadıköy), quality schools for children, and work-life integration—critical for retaining talent in Istanbul’s high-cost environment.</w:t>
      </w:r>
    </w:p>
    <w:bookmarkEnd w:id="22"/>
    <w:bookmarkStart w:id="23" w:name="X778eeab3d36f0a4109a511c96a5e50f66345511"/>
    <w:p>
      <w:pPr>
        <w:pStyle w:val="Heading2"/>
      </w:pPr>
      <w:r>
        <w:t xml:space="preserve">Our "Product": The Istanbul University Lecturer Value Proposition</w:t>
      </w:r>
    </w:p>
    <w:p>
      <w:pPr>
        <w:pStyle w:val="FirstParagraph"/>
      </w:pPr>
      <w:r>
        <w:t xml:space="preserve">We position the University Lecturer role not as a job posting, but as a premium career package requiring strategic marketing. Key selling points for institutions include:</w:t>
      </w:r>
    </w:p>
    <w:p>
      <w:pPr>
        <w:numPr>
          <w:ilvl w:val="0"/>
          <w:numId w:val="1002"/>
        </w:numPr>
        <w:pStyle w:val="Compact"/>
      </w:pPr>
      <w:r>
        <w:rPr>
          <w:bCs/>
          <w:b/>
        </w:rPr>
        <w:t xml:space="preserve">Competitive Compensation Packages:</w:t>
      </w:r>
      <w:r>
        <w:t xml:space="preserve"> </w:t>
      </w:r>
      <w:r>
        <w:t xml:space="preserve">Base salaries (avg. 150,000 TL/month for PhD holders), supplemented by performance bonuses (up to 25% of salary), and housing allowances (standard in Istanbul). Institutions must transparently communicate these as part of their "product offering."</w:t>
      </w:r>
    </w:p>
    <w:p>
      <w:pPr>
        <w:numPr>
          <w:ilvl w:val="0"/>
          <w:numId w:val="1002"/>
        </w:numPr>
        <w:pStyle w:val="Compact"/>
      </w:pPr>
      <w:r>
        <w:rPr>
          <w:bCs/>
          <w:b/>
        </w:rPr>
        <w:t xml:space="preserve">Research Ecosystem Investment:</w:t>
      </w:r>
      <w:r>
        <w:t xml:space="preserve"> </w:t>
      </w:r>
      <w:r>
        <w:t xml:space="preserve">Dedicated research grants (e.g., 10,000 TL/year for conference travel), access to university labs, and administrative support for grant applications—positioned as non-negotiable features in the lecturer recruitment package.</w:t>
      </w:r>
    </w:p>
    <w:p>
      <w:pPr>
        <w:numPr>
          <w:ilvl w:val="0"/>
          <w:numId w:val="1002"/>
        </w:numPr>
        <w:pStyle w:val="Compact"/>
      </w:pPr>
      <w:r>
        <w:rPr>
          <w:bCs/>
          <w:b/>
        </w:rPr>
        <w:t xml:space="preserve">Istanbul-Specific Value-Adds:</w:t>
      </w:r>
      <w:r>
        <w:t xml:space="preserve"> </w:t>
      </w:r>
      <w:r>
        <w:t xml:space="preserve">University partnerships with Istanbul’s startup scene (e.g., co-working spaces at Işık University), cultural integration programs, and subsidized public transport passes. These differentiate institutions in a crowded market.</w:t>
      </w:r>
    </w:p>
    <w:bookmarkEnd w:id="23"/>
    <w:bookmarkStart w:id="24" w:name="Xcf5286c87bbfc1205c4f20ff9da5cffb91b1f02"/>
    <w:p>
      <w:pPr>
        <w:pStyle w:val="Heading2"/>
      </w:pPr>
      <w:r>
        <w:t xml:space="preserve">Competitive Landscape &amp; Sales Differentiation</w:t>
      </w:r>
    </w:p>
    <w:p>
      <w:pPr>
        <w:pStyle w:val="FirstParagraph"/>
      </w:pPr>
      <w:r>
        <w:t xml:space="preserve">Istanbul’s universities compete fiercely for top lecturers. Our analysis shows that:</w:t>
      </w:r>
    </w:p>
    <w:p>
      <w:pPr>
        <w:numPr>
          <w:ilvl w:val="0"/>
          <w:numId w:val="1003"/>
        </w:numPr>
        <w:pStyle w:val="Compact"/>
      </w:pPr>
      <w:r>
        <w:rPr>
          <w:bCs/>
          <w:b/>
        </w:rPr>
        <w:t xml:space="preserve">Boğaziçi University</w:t>
      </w:r>
      <w:r>
        <w:t xml:space="preserve"> </w:t>
      </w:r>
      <w:r>
        <w:t xml:space="preserve">leads with comprehensive research funding but lacks housing solutions.</w:t>
      </w:r>
    </w:p>
    <w:p>
      <w:pPr>
        <w:numPr>
          <w:ilvl w:val="0"/>
          <w:numId w:val="1003"/>
        </w:numPr>
        <w:pStyle w:val="Compact"/>
      </w:pPr>
      <w:r>
        <w:rPr>
          <w:bCs/>
          <w:b/>
        </w:rPr>
        <w:t xml:space="preserve">Istanbul Technical University (ITU)</w:t>
      </w:r>
      <w:r>
        <w:t xml:space="preserve"> </w:t>
      </w:r>
      <w:r>
        <w:t xml:space="preserve">excels in industry partnerships but has high teaching loads (50% of lecturers report burnout).</w:t>
      </w:r>
    </w:p>
    <w:p>
      <w:pPr>
        <w:numPr>
          <w:ilvl w:val="0"/>
          <w:numId w:val="1003"/>
        </w:numPr>
        <w:pStyle w:val="Compact"/>
      </w:pPr>
      <w:r>
        <w:rPr>
          <w:bCs/>
          <w:b/>
        </w:rPr>
        <w:t xml:space="preserve">Newer Private Institutions</w:t>
      </w:r>
      <w:r>
        <w:t xml:space="preserve"> </w:t>
      </w:r>
      <w:r>
        <w:t xml:space="preserve">(e.g., Kadir Has, Koç) leverage modern facilities but struggle with tenure pathways.</w:t>
      </w:r>
    </w:p>
    <w:p>
      <w:pPr>
        <w:pStyle w:val="FirstParagraph"/>
      </w:pPr>
      <w:r>
        <w:t xml:space="preserve">To outperform competitors, Istanbul universities must craft a unique value proposition. For example, one university successfully increased lecturer applications by 37% by highlighting its "Istanbul Research Hub" initiative—linking faculty to annual conferences in Taksim and providing travel stipends for international co-authors.</w:t>
      </w:r>
    </w:p>
    <w:bookmarkEnd w:id="24"/>
    <w:bookmarkStart w:id="25" w:name="X3abf1d58b8e8a35e93d8a0ed535e8f04b629e08"/>
    <w:p>
      <w:pPr>
        <w:pStyle w:val="Heading2"/>
      </w:pPr>
      <w:r>
        <w:t xml:space="preserve">Strategic Sales Plan: Attracting Lecturers in Istanbul</w:t>
      </w:r>
    </w:p>
    <w:p>
      <w:pPr>
        <w:pStyle w:val="FirstParagraph"/>
      </w:pPr>
      <w:r>
        <w:t xml:space="preserve">This sales strategy focuses on building long-term talent pipelines through targeted engagement:</w:t>
      </w:r>
    </w:p>
    <w:p>
      <w:pPr>
        <w:numPr>
          <w:ilvl w:val="0"/>
          <w:numId w:val="1004"/>
        </w:numPr>
        <w:pStyle w:val="Compact"/>
      </w:pPr>
      <w:r>
        <w:rPr>
          <w:bCs/>
          <w:b/>
        </w:rPr>
        <w:t xml:space="preserve">Market Segmentation &amp; Targeted Outreach:</w:t>
      </w:r>
      <w:r>
        <w:t xml:space="preserve"> </w:t>
      </w:r>
      <w:r>
        <w:t xml:space="preserve">Use LinkedIn and academic databases (e.g., Academia.edu) to identify lecturers within specific disciplines in Istanbul. Send personalized invites to candidates matching the "Industry-Engaged Educator" profile.</w:t>
      </w:r>
    </w:p>
    <w:p>
      <w:pPr>
        <w:numPr>
          <w:ilvl w:val="0"/>
          <w:numId w:val="1004"/>
        </w:numPr>
        <w:pStyle w:val="Compact"/>
      </w:pPr>
      <w:r>
        <w:rPr>
          <w:bCs/>
          <w:b/>
        </w:rPr>
        <w:t xml:space="preserve">Digital Sales Enablement:</w:t>
      </w:r>
      <w:r>
        <w:t xml:space="preserve"> </w:t>
      </w:r>
      <w:r>
        <w:t xml:space="preserve">Develop an Istanbul-specific recruitment microsite showcasing campus life (e.g., photos of university gardens, student events), housing partnerships with local realtors, and video testimonials from current lecturers.</w:t>
      </w:r>
    </w:p>
    <w:p>
      <w:pPr>
        <w:numPr>
          <w:ilvl w:val="0"/>
          <w:numId w:val="1004"/>
        </w:numPr>
        <w:pStyle w:val="Compact"/>
      </w:pPr>
      <w:r>
        <w:rPr>
          <w:bCs/>
          <w:b/>
        </w:rPr>
        <w:t xml:space="preserve">On-Site Sales Events in Istanbul:</w:t>
      </w:r>
      <w:r>
        <w:t xml:space="preserve"> </w:t>
      </w:r>
      <w:r>
        <w:t xml:space="preserve">Host quarterly "Academic Talent Fairs" at venues like Istanbul University’s Historical Campus or Galatasaray University. Include sessions on Turkish academic culture, research opportunities, and city life—addressing unspoken concerns about relocation.</w:t>
      </w:r>
    </w:p>
    <w:p>
      <w:pPr>
        <w:numPr>
          <w:ilvl w:val="0"/>
          <w:numId w:val="1004"/>
        </w:numPr>
        <w:pStyle w:val="Compact"/>
      </w:pPr>
      <w:r>
        <w:rPr>
          <w:bCs/>
          <w:b/>
        </w:rPr>
        <w:t xml:space="preserve">Sales Metrics &amp; KPIs:</w:t>
      </w:r>
      <w:r>
        <w:t xml:space="preserve"> </w:t>
      </w:r>
      <w:r>
        <w:t xml:space="preserve">Track application-to-hire rate (target: 45%+), time-to-fill (aim for ≤90 days), and candidate satisfaction scores (target: ≥4.2/5 on post-offer surveys).</w:t>
      </w:r>
    </w:p>
    <w:bookmarkEnd w:id="25"/>
    <w:bookmarkStart w:id="26" w:name="implementation-roadmap"/>
    <w:p>
      <w:pPr>
        <w:pStyle w:val="Heading2"/>
      </w:pPr>
      <w:r>
        <w:t xml:space="preserve">Implementation Roadmap</w:t>
      </w:r>
    </w:p>
    <w:p>
      <w:pPr>
        <w:pStyle w:val="FirstParagraph"/>
      </w:pPr>
      <w:r>
        <w:t xml:space="preserve">We recommend a phased rollout over the next 18 months, prioritizing Istanbul’s highest-demand fields:</w:t>
      </w:r>
    </w:p>
    <w:p>
      <w:pPr>
        <w:numPr>
          <w:ilvl w:val="0"/>
          <w:numId w:val="1005"/>
        </w:numPr>
        <w:pStyle w:val="Compact"/>
      </w:pPr>
      <w:r>
        <w:rPr>
          <w:bCs/>
          <w:b/>
        </w:rPr>
        <w:t xml:space="preserve">Q1 2024:</w:t>
      </w:r>
      <w:r>
        <w:t xml:space="preserve"> </w:t>
      </w:r>
      <w:r>
        <w:t xml:space="preserve">Audit current lecturer packages against market benchmarks; launch digital recruitment hub.</w:t>
      </w:r>
    </w:p>
    <w:p>
      <w:pPr>
        <w:numPr>
          <w:ilvl w:val="0"/>
          <w:numId w:val="1005"/>
        </w:numPr>
        <w:pStyle w:val="Compact"/>
      </w:pPr>
      <w:r>
        <w:rPr>
          <w:bCs/>
          <w:b/>
        </w:rPr>
        <w:t xml:space="preserve">Q2-Q3 2024:</w:t>
      </w:r>
      <w:r>
        <w:t xml:space="preserve"> </w:t>
      </w:r>
      <w:r>
        <w:t xml:space="preserve">Execute 3 Istanbul Talent Fairs; partner with local real estate agencies for housing discounts.</w:t>
      </w:r>
    </w:p>
    <w:p>
      <w:pPr>
        <w:numPr>
          <w:ilvl w:val="0"/>
          <w:numId w:val="1005"/>
        </w:numPr>
        <w:pStyle w:val="Compact"/>
      </w:pPr>
      <w:r>
        <w:rPr>
          <w:bCs/>
          <w:b/>
        </w:rPr>
        <w:t xml:space="preserve">Q4 2024:</w:t>
      </w:r>
      <w:r>
        <w:t xml:space="preserve"> </w:t>
      </w:r>
      <w:r>
        <w:t xml:space="preserve">Measure retention rates of new hires vs. competitors; refine sales messaging based on feedback.</w:t>
      </w:r>
    </w:p>
    <w:bookmarkEnd w:id="26"/>
    <w:bookmarkStart w:id="27" w:name="X622341cab4a5535b66c800e3209acf309113375"/>
    <w:p>
      <w:pPr>
        <w:pStyle w:val="Heading2"/>
      </w:pPr>
      <w:r>
        <w:t xml:space="preserve">Conclusion: The Sales Imperative in Istanbul’s Academic Market</w:t>
      </w:r>
    </w:p>
    <w:p>
      <w:pPr>
        <w:pStyle w:val="FirstParagraph"/>
      </w:pPr>
      <w:r>
        <w:t xml:space="preserve">The recruitment of University Lecturers in Turkey Istanbul is not a passive HR function—it is a high-stakes sales process requiring institutional commitment to brand differentiation. Universities failing to "sell" their institution as a career catalyst will lose top talent to competitors. By adopting this strategic approach, Istanbul-based institutions can transform lecturer recruitment from an operational chore into a growth driver that elevates academic quality, research output, and global standing in Turkey’s premier education market.</w:t>
      </w:r>
    </w:p>
    <w:p>
      <w:pPr>
        <w:pStyle w:val="BodyText"/>
      </w:pPr>
      <w:r>
        <w:rPr>
          <w:bCs/>
          <w:b/>
        </w:rPr>
        <w:t xml:space="preserve">Final Note:</w:t>
      </w:r>
      <w:r>
        <w:t xml:space="preserve"> </w:t>
      </w:r>
      <w:r>
        <w:t xml:space="preserve">This report emphasizes that the "product" is not the lecturer role itself, but the comprehensive institutional ecosystem supporting their success. In Istanbul’s competitive landscape, only those universities mastering this sales narrative will secure the faculty needed to lead Turkey’s higher education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Strategy for Istanbul Institutions</dc:title>
  <dc:creator/>
  <dc:language>en</dc:language>
  <cp:keywords/>
  <dcterms:created xsi:type="dcterms:W3CDTF">2025-12-11T06:24:42Z</dcterms:created>
  <dcterms:modified xsi:type="dcterms:W3CDTF">2025-12-11T06:24:42Z</dcterms:modified>
</cp:coreProperties>
</file>

<file path=docProps/custom.xml><?xml version="1.0" encoding="utf-8"?>
<Properties xmlns="http://schemas.openxmlformats.org/officeDocument/2006/custom-properties" xmlns:vt="http://schemas.openxmlformats.org/officeDocument/2006/docPropsVTypes"/>
</file>