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p>
    <w:bookmarkStart w:id="27" w:name="Xa2a0125f1a3cc366849ac8b8daa312ab26f3dd9"/>
    <w:p>
      <w:pPr>
        <w:pStyle w:val="Heading1"/>
      </w:pPr>
      <w:r>
        <w:t xml:space="preserve">Sales Report: University Lecturer Placement Services in United Arab Emirates Abu Dhabi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Abu Dhabi Education Council</w:t>
      </w:r>
      <w:r>
        <w:br/>
      </w:r>
      <w:r>
        <w:rPr>
          <w:bCs/>
          <w:b/>
        </w:rPr>
        <w:t xml:space="preserve">Prepared By:</w:t>
      </w:r>
      <w:r>
        <w:t xml:space="preserve"> </w:t>
      </w:r>
      <w:r>
        <w:t xml:space="preserve">Gulf Talent Solutions (Abu Dhabi Branch)</w:t>
      </w:r>
    </w:p>
    <w:bookmarkStart w:id="20" w:name="i.-executive-summary"/>
    <w:p>
      <w:pPr>
        <w:pStyle w:val="Heading2"/>
      </w:pPr>
      <w:r>
        <w:t xml:space="preserve">I. Executive Summary</w:t>
      </w:r>
    </w:p>
    <w:p>
      <w:pPr>
        <w:pStyle w:val="FirstParagraph"/>
      </w:pPr>
      <w:r>
        <w:t xml:space="preserve">This comprehensive Sales Report details the performance of our University Lecturer recruitment and placement services across United Arab Emirates Abu Dhabi during Q3 2023. As Abu Dhabi continues to position itself as a global education hub within the United Arab Emirates, demand for specialized academic talent has surged by 37% year-over-year. Our sales team successfully secured 42 placements of highly qualified University Lecturers across premier institutions including Khalifa University, NYU Abu Dhabi, and Etihad University. These placements directly contributed to AED 18.7M in revenue, representing a 28% increase over Q2 and exceeding our quarterly target by 15%. This report demonstrates how strategic focus on the United Arab Emirates Abu Dhabi education sector has yielded exceptional results.</w:t>
      </w:r>
    </w:p>
    <w:bookmarkEnd w:id="20"/>
    <w:bookmarkStart w:id="21" w:name="Xdd0abb02ec513b58fc8d193f30aaba5ff82800f"/>
    <w:p>
      <w:pPr>
        <w:pStyle w:val="Heading2"/>
      </w:pPr>
      <w:r>
        <w:t xml:space="preserve">II. Market Context: Abu Dhabi's Educational Transformation</w:t>
      </w:r>
    </w:p>
    <w:p>
      <w:pPr>
        <w:pStyle w:val="FirstParagraph"/>
      </w:pPr>
      <w:r>
        <w:t xml:space="preserve">The United Arab Emirates, particularly Abu Dhabi, is undergoing unprecedented educational advancement through initiatives like Vision 2030 and the UAE Strategy for Higher Education 2035. This has created a critical demand for internationally accredited University Lecturers who can deliver cutting-edge curricula aligned with global standards. As of Q3 2023, Abu Dhabi's higher education sector employs over 18,500 academic professionals across 14 major institutions – yet vacancy rates for specialized roles (particularly in AI, sustainability, and biomedical sciences) remain at 22%. Our Sales Report confirms that the Abu Dhabi market is now the most lucrative segment within Gulf education recruitment.</w:t>
      </w:r>
    </w:p>
    <w:p>
      <w:pPr>
        <w:pStyle w:val="BodyText"/>
      </w:pPr>
      <w:r>
        <w:t xml:space="preserve">Our sales team has identified three key drivers of this demand:</w:t>
      </w:r>
      <w:r>
        <w:t xml:space="preserve"> </w:t>
      </w:r>
      <w:r>
        <w:t xml:space="preserve">1. New campus expansions by universities</w:t>
      </w:r>
      <w:r>
        <w:t xml:space="preserve"> </w:t>
      </w:r>
      <w:r>
        <w:t xml:space="preserve">2. Increased international accreditation requirements</w:t>
      </w:r>
      <w:r>
        <w:t xml:space="preserve"> </w:t>
      </w:r>
      <w:r>
        <w:t xml:space="preserve">3. Government incentives for STEM faculty retention</w:t>
      </w:r>
    </w:p>
    <w:bookmarkEnd w:id="21"/>
    <w:bookmarkStart w:id="22" w:name="iii.-sales-performance-analysis-q3-2023"/>
    <w:p>
      <w:pPr>
        <w:pStyle w:val="Heading2"/>
      </w:pPr>
      <w:r>
        <w:t xml:space="preserve">III. Sales Performance Analysis (Q3 2023)</w:t>
      </w:r>
    </w:p>
    <w:p>
      <w:pPr>
        <w:pStyle w:val="FirstParagraph"/>
      </w:pPr>
      <w:r>
        <w:t xml:space="preserve">Key Metric</w:t>
      </w:r>
    </w:p>
    <w:p>
      <w:pPr>
        <w:pStyle w:val="BodyText"/>
      </w:pPr>
      <w:r>
        <w:t xml:space="preserve">Q3 2023</w:t>
      </w:r>
    </w:p>
    <w:p>
      <w:pPr>
        <w:pStyle w:val="BodyText"/>
      </w:pPr>
      <w:r>
        <w:t xml:space="preserve">Quarterly Target</w:t>
      </w:r>
    </w:p>
    <w:p>
      <w:pPr>
        <w:pStyle w:val="BodyText"/>
      </w:pPr>
      <w:r>
        <w:t xml:space="preserve">YTD Growth</w:t>
      </w:r>
    </w:p>
    <w:p>
      <w:pPr>
        <w:pStyle w:val="BodyText"/>
      </w:pPr>
      <w:r>
        <w:t xml:space="preserve">New University Lecturer Placements</w:t>
      </w:r>
    </w:p>
    <w:p>
      <w:pPr>
        <w:pStyle w:val="BodyText"/>
      </w:pPr>
      <w:r>
        <w:t xml:space="preserve">42</w:t>
      </w:r>
    </w:p>
    <w:p>
      <w:pPr>
        <w:pStyle w:val="BodyText"/>
      </w:pPr>
      <w:r>
        <w:t xml:space="preserve">36</w:t>
      </w:r>
    </w:p>
    <w:p>
      <w:pPr>
        <w:pStyle w:val="BodyText"/>
      </w:pPr>
      <w:r>
        <w:t xml:space="preserve">+28%</w:t>
      </w:r>
    </w:p>
    <w:p>
      <w:pPr>
        <w:pStyle w:val="BodyText"/>
      </w:pPr>
      <w:r>
        <w:t xml:space="preserve">Total Revenue Generated (AED)</w:t>
      </w:r>
    </w:p>
    <w:p>
      <w:pPr>
        <w:pStyle w:val="BodyText"/>
      </w:pPr>
      <w:r>
        <w:t xml:space="preserve">18,700,000</w:t>
      </w:r>
    </w:p>
    <w:p>
      <w:pPr>
        <w:pStyle w:val="BodyText"/>
      </w:pPr>
      <w:r>
        <w:t xml:space="preserve">&lt;</w:t>
      </w:r>
    </w:p>
    <w:p>
      <w:pPr>
        <w:pStyle w:val="BodyText"/>
      </w:pPr>
      <w:r>
        <w:t xml:space="preserve">15,950,000</w:t>
      </w:r>
    </w:p>
    <w:p>
      <w:pPr>
        <w:pStyle w:val="BodyText"/>
      </w:pPr>
      <w:r>
        <w:t xml:space="preserve">+34.7%</w:t>
      </w:r>
    </w:p>
    <w:p>
      <w:pPr>
        <w:pStyle w:val="BodyText"/>
      </w:pPr>
      <w:r>
        <w:t xml:space="preserve">19 new university contracts</w:t>
      </w:r>
    </w:p>
    <w:p>
      <w:pPr>
        <w:pStyle w:val="BodyText"/>
      </w:pPr>
      <w:r>
        <w:t xml:space="preserve">14 contracts</w:t>
      </w:r>
    </w:p>
    <w:p>
      <w:pPr>
        <w:pStyle w:val="BodyText"/>
      </w:pPr>
      <w:r>
        <w:t xml:space="preserve">&lt;</w:t>
      </w:r>
    </w:p>
    <w:p>
      <w:pPr>
        <w:pStyle w:val="BodyText"/>
      </w:pPr>
      <w:r>
        <w:t xml:space="preserve">+35.7%</w:t>
      </w:r>
    </w:p>
    <w:p>
      <w:pPr>
        <w:pStyle w:val="BodyText"/>
      </w:pPr>
      <w:r>
        <w:t xml:space="preserve">&lt;</w:t>
      </w:r>
    </w:p>
    <w:p>
      <w:pPr>
        <w:pStyle w:val="BodyText"/>
      </w:pPr>
      <w:r>
        <w:t xml:space="preserve">Average Placement Fee per University Lecturer</w:t>
      </w:r>
    </w:p>
    <w:p>
      <w:pPr>
        <w:pStyle w:val="BodyText"/>
      </w:pPr>
      <w:r>
        <w:t xml:space="preserve">AED 445,238</w:t>
      </w:r>
    </w:p>
    <w:p>
      <w:pPr>
        <w:pStyle w:val="BodyText"/>
      </w:pPr>
      <w:r>
        <w:t xml:space="preserve">&lt;</w:t>
      </w:r>
    </w:p>
    <w:p>
      <w:pPr>
        <w:pStyle w:val="BodyText"/>
      </w:pPr>
      <w:r>
        <w:t xml:space="preserve">AED 420,000</w:t>
      </w:r>
    </w:p>
    <w:p>
      <w:pPr>
        <w:pStyle w:val="BodyText"/>
      </w:pPr>
      <w:r>
        <w:t xml:space="preserve">+6.1%</w:t>
      </w:r>
    </w:p>
    <w:p>
      <w:pPr>
        <w:pStyle w:val="BodyText"/>
      </w:pPr>
      <w:r>
        <w:t xml:space="preserve">Notable success stories include securing the entire faculty roster for a new Abu Dhabi branch of a leading European university (27 University Lecturer placements) and placing 8 senior academic directors at UAE government-affiliated institutions. The United Arab Emirates Abu Dhabi market now accounts for 63% of our total regional revenue – up from 48% in Q1 2023.</w:t>
      </w:r>
    </w:p>
    <w:bookmarkEnd w:id="22"/>
    <w:bookmarkStart w:id="23" w:name="Xedbc0383756972d84d2ad740ad6bcdbcaf67ca6"/>
    <w:p>
      <w:pPr>
        <w:pStyle w:val="Heading2"/>
      </w:pPr>
      <w:r>
        <w:t xml:space="preserve">IV. Strategic Sales Initiatives Driving Success</w:t>
      </w:r>
    </w:p>
    <w:p>
      <w:pPr>
        <w:pStyle w:val="FirstParagraph"/>
      </w:pPr>
      <w:r>
        <w:t xml:space="preserve">Our sales strategy for University Lecturer placements in United Arab Emirates Abu Dhabi focuses on three pillars:</w:t>
      </w:r>
    </w:p>
    <w:p>
      <w:pPr>
        <w:numPr>
          <w:ilvl w:val="0"/>
          <w:numId w:val="1001"/>
        </w:numPr>
        <w:pStyle w:val="Compact"/>
      </w:pPr>
      <w:r>
        <w:rPr>
          <w:bCs/>
          <w:b/>
        </w:rPr>
        <w:t xml:space="preserve">Cultural Intelligence Partnerships:</w:t>
      </w:r>
      <w:r>
        <w:t xml:space="preserve"> </w:t>
      </w:r>
      <w:r>
        <w:t xml:space="preserve">We've established direct relationships with Abu Dhabi's Department of Education and Knowledge (ADEK), enabling priority access to institutional hiring cycles. Our sales team now conducts cultural immersion training for all consultants to understand local academic protocols.</w:t>
      </w:r>
    </w:p>
    <w:p>
      <w:pPr>
        <w:numPr>
          <w:ilvl w:val="0"/>
          <w:numId w:val="1001"/>
        </w:numPr>
        <w:pStyle w:val="Compact"/>
      </w:pPr>
      <w:r>
        <w:rPr>
          <w:bCs/>
          <w:b/>
        </w:rPr>
        <w:t xml:space="preserve">Technology-Driven Candidate Sourcing:</w:t>
      </w:r>
      <w:r>
        <w:t xml:space="preserve"> </w:t>
      </w:r>
      <w:r>
        <w:t xml:space="preserve">Implementation of our AI matching platform "Abu Dhabi Academic Connect" has reduced placement timelines by 41% while improving candidate-fit accuracy by 68%. This tool specifically analyzes University Lecturer qualifications against UAE's Higher Education Council requirements.</w:t>
      </w:r>
    </w:p>
    <w:p>
      <w:pPr>
        <w:numPr>
          <w:ilvl w:val="0"/>
          <w:numId w:val="1001"/>
        </w:numPr>
        <w:pStyle w:val="Compact"/>
      </w:pPr>
      <w:r>
        <w:rPr>
          <w:bCs/>
          <w:b/>
        </w:rPr>
        <w:t xml:space="preserve">Value-Based Sales Approach:</w:t>
      </w:r>
      <w:r>
        <w:t xml:space="preserve"> </w:t>
      </w:r>
      <w:r>
        <w:t xml:space="preserve">Instead of competing on price, our sales representatives now present comprehensive ROI packages showing how University Lecturer placements increase institutional rankings and student enrollment – a critical metric for Abu Dhabi universities.</w:t>
      </w:r>
    </w:p>
    <w:bookmarkEnd w:id="23"/>
    <w:bookmarkStart w:id="24" w:name="v.-market-challenges-solutions"/>
    <w:p>
      <w:pPr>
        <w:pStyle w:val="Heading2"/>
      </w:pPr>
      <w:r>
        <w:t xml:space="preserve">V. Market Challenges &amp; Solutions</w:t>
      </w:r>
    </w:p>
    <w:p>
      <w:pPr>
        <w:pStyle w:val="FirstParagraph"/>
      </w:pPr>
      <w:r>
        <w:t xml:space="preserve">Despite strong performance, two significant challenges emerged in the United Arab Emirates Abu Dhabi market:</w:t>
      </w:r>
    </w:p>
    <w:p>
      <w:pPr>
        <w:pStyle w:val="BodyText"/>
      </w:pPr>
      <w:r>
        <w:rPr>
          <w:bCs/>
          <w:b/>
        </w:rPr>
        <w:t xml:space="preserve">Challenge 1: Salary Benchmarking Complexity</w:t>
      </w:r>
      <w:r>
        <w:br/>
      </w:r>
      <w:r>
        <w:t xml:space="preserve">Abu Dhabi's unique compensation structure (combining base salary, housing allowance, and tax-free benefits) creates pricing confusion. Our sales team developed a standardized "University Lecturer Compensation Calculator" tailored to UAE regulations, which has increased client conversion rates by 33%.</w:t>
      </w:r>
    </w:p>
    <w:p>
      <w:pPr>
        <w:pStyle w:val="BodyText"/>
      </w:pPr>
      <w:r>
        <w:rPr>
          <w:bCs/>
          <w:b/>
        </w:rPr>
        <w:t xml:space="preserve">Challenge 2: Visa Processing Delays</w:t>
      </w:r>
      <w:r>
        <w:br/>
      </w:r>
      <w:r>
        <w:t xml:space="preserve">The 60-day average processing time for academic visas was causing placement delays. We partnered with the Abu Dhabi Global Market (ADGM) to create a dedicated fast-track visa channel for University Lecturer candidates, reducing wait times to 22 days and preventing 17 potential contract cancellations in Q3.</w:t>
      </w:r>
    </w:p>
    <w:bookmarkEnd w:id="24"/>
    <w:bookmarkStart w:id="25" w:name="Xcf6186d841824f4d920e60a0eb79a500cb04fa4"/>
    <w:p>
      <w:pPr>
        <w:pStyle w:val="Heading2"/>
      </w:pPr>
      <w:r>
        <w:t xml:space="preserve">VI. Future Sales Strategy for United Arab Emirates Abu Dhabi</w:t>
      </w:r>
    </w:p>
    <w:p>
      <w:pPr>
        <w:pStyle w:val="FirstParagraph"/>
      </w:pPr>
      <w:r>
        <w:t xml:space="preserve">Based on our Sales Report findings, we recommend three priority initiatives:</w:t>
      </w:r>
    </w:p>
    <w:p>
      <w:pPr>
        <w:numPr>
          <w:ilvl w:val="0"/>
          <w:numId w:val="1002"/>
        </w:numPr>
        <w:pStyle w:val="Compact"/>
      </w:pPr>
      <w:r>
        <w:rPr>
          <w:bCs/>
          <w:b/>
        </w:rPr>
        <w:t xml:space="preserve">Establish Abu Dhabi Academic Talent Hub:</w:t>
      </w:r>
      <w:r>
        <w:t xml:space="preserve"> </w:t>
      </w:r>
      <w:r>
        <w:t xml:space="preserve">Invest AED 3.5M to create a physical recruitment center in Masdar City, positioning us as the premier University Lecturer placement partner for all Abu Dhabi institutions.</w:t>
      </w:r>
    </w:p>
    <w:p>
      <w:pPr>
        <w:numPr>
          <w:ilvl w:val="0"/>
          <w:numId w:val="1002"/>
        </w:numPr>
        <w:pStyle w:val="Compact"/>
      </w:pPr>
      <w:r>
        <w:rPr>
          <w:bCs/>
          <w:b/>
        </w:rPr>
        <w:t xml:space="preserve">Premium Faculty Development Program:</w:t>
      </w:r>
      <w:r>
        <w:t xml:space="preserve"> </w:t>
      </w:r>
      <w:r>
        <w:t xml:space="preserve">Launch a co-branded "Abu Dhabi Academic Leadership Initiative" with top universities, offering professional development for new University Lecturers – creating recurring revenue streams beyond initial placements.</w:t>
      </w:r>
    </w:p>
    <w:p>
      <w:pPr>
        <w:numPr>
          <w:ilvl w:val="0"/>
          <w:numId w:val="1002"/>
        </w:numPr>
        <w:pStyle w:val="Compact"/>
      </w:pPr>
      <w:r>
        <w:rPr>
          <w:bCs/>
          <w:b/>
        </w:rPr>
        <w:t xml:space="preserve">Government Partnership Expansion:</w:t>
      </w:r>
      <w:r>
        <w:t xml:space="preserve"> </w:t>
      </w:r>
      <w:r>
        <w:t xml:space="preserve">Target 5 additional Abu Dhabi government education entities through the Ministry of Education's Talent Accelerator Program to secure framework agreements for all future academic hiring.</w:t>
      </w:r>
    </w:p>
    <w:bookmarkEnd w:id="25"/>
    <w:bookmarkStart w:id="26" w:name="vii.-conclusion"/>
    <w:p>
      <w:pPr>
        <w:pStyle w:val="Heading2"/>
      </w:pPr>
      <w:r>
        <w:t xml:space="preserve">VII. Conclusion</w:t>
      </w:r>
    </w:p>
    <w:p>
      <w:pPr>
        <w:pStyle w:val="FirstParagraph"/>
      </w:pPr>
      <w:r>
        <w:t xml:space="preserve">This Sales Report confirms that University Lecturer placement has become the fastest-growing segment in our regional business, driven entirely by Abu Dhabi's strategic education investments within the United Arab Emirates. The market's unique requirements – demanding globally mobile academics who understand Emirati educational culture – have positioned us as a category leader. Our sales pipeline for Q4 shows strong momentum with 38 active university contracts valued at AED 24.1M, including three major government education projects.</w:t>
      </w:r>
    </w:p>
    <w:p>
      <w:pPr>
        <w:pStyle w:val="BodyText"/>
      </w:pPr>
      <w:r>
        <w:t xml:space="preserve">As Abu Dhabi continues its journey to become the "Education Capital of the Middle East," our Sales Report demonstrates that strategic alignment with local educational priorities is paramount. We are not merely selling University Lecturer placements – we are enabling Abu Dhabi's academic transformation. The United Arab Emirates Abu Dhabi market has proven that when sales strategies prioritize cultural intelligence, technological innovation, and institutional partnership, exceptional results follow.</w:t>
      </w:r>
    </w:p>
    <w:p>
      <w:pPr>
        <w:pStyle w:val="BodyText"/>
      </w:pPr>
      <w:r>
        <w:rPr>
          <w:bCs/>
          <w:b/>
        </w:rPr>
        <w:t xml:space="preserve">Recommendation:</w:t>
      </w:r>
      <w:r>
        <w:t xml:space="preserve"> </w:t>
      </w:r>
      <w:r>
        <w:t xml:space="preserve">Approve all proposed initiatives in Section VI to capitalize on the 37% YoY growth trajectory. We project 40% revenue growth from Abu Dhabi University Lecturer placements by Q2 2024.</w:t>
      </w:r>
    </w:p>
    <w:p>
      <w:r>
        <w:pict>
          <v:rect style="width:0;height:1.5pt" o:hralign="center" o:hrstd="t" o:hr="t"/>
        </w:pict>
      </w:r>
    </w:p>
    <w:p>
      <w:pPr>
        <w:pStyle w:val="FirstParagraph"/>
      </w:pPr>
      <w:r>
        <w:rPr>
          <w:iCs/>
          <w:i/>
        </w:rPr>
        <w:t xml:space="preserve">This Sales Report is confidential and prepared exclusively for Abu Dhabi Education Council. All data reflects United Arab Emirates national regulations and Abu Dhabi education sector standards as of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University Lecturer Sales Performance Report</dc:title>
  <dc:creator/>
  <dc:language>en</dc:language>
  <cp:keywords/>
  <dcterms:created xsi:type="dcterms:W3CDTF">2026-07-24T07:42:00Z</dcterms:created>
  <dcterms:modified xsi:type="dcterms:W3CDTF">2026-07-24T07:42:00Z</dcterms:modified>
</cp:coreProperties>
</file>

<file path=docProps/custom.xml><?xml version="1.0" encoding="utf-8"?>
<Properties xmlns="http://schemas.openxmlformats.org/officeDocument/2006/custom-properties" xmlns:vt="http://schemas.openxmlformats.org/officeDocument/2006/docPropsVTypes"/>
</file>