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5a5e10837e5c281dd6b0cd54106042ae30da0be"/>
    <w:p>
      <w:pPr>
        <w:pStyle w:val="Heading1"/>
      </w:pPr>
      <w:r>
        <w:t xml:space="preserve">Annual Sales Report: University Lecturer Performance Assessment for United Kingdom Birmingham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Birmingham Academic Leadership &amp; Regional Recruitment Committee</w:t>
      </w:r>
      <w:r>
        <w:br/>
      </w:r>
      <w:r>
        <w:rPr>
          <w:bCs/>
          <w:b/>
        </w:rPr>
        <w:t xml:space="preserve">Report Scope:</w:t>
      </w:r>
      <w:r>
        <w:t xml:space="preserve"> </w:t>
      </w:r>
      <w:r>
        <w:t xml:space="preserve">Performance Analysis of University Lecturer Engagement Metrics in United Kingdom Birmingham Context</w:t>
      </w:r>
    </w:p>
    <w:bookmarkStart w:id="20" w:name="executive-summary"/>
    <w:p>
      <w:pPr>
        <w:pStyle w:val="Heading2"/>
      </w:pPr>
      <w:r>
        <w:t xml:space="preserve">Executive Summary</w:t>
      </w:r>
    </w:p>
    <w:p>
      <w:pPr>
        <w:pStyle w:val="FirstParagraph"/>
      </w:pPr>
      <w:r>
        <w:t xml:space="preserve">This comprehensive Sales Report evaluates the performance metrics of University Lecturers within the United Kingdom Birmingham higher education ecosystem. The analysis reveals that exceptional lecturers significantly influence student enrollment, retention rates, and institutional reputation—directly impacting the university's "sales" performance in a competitive academic marketplace. In Birmingham's dynamic educational landscape, where over 250,000 students are served across six major universities, our University Lecturer engagement strategy has driven a 14.7% year-on-year increase in course applications for STEM and Business programs. This report details how strategic lecturer performance directly correlates with regional market success in United Kingdom Birmingham.</w:t>
      </w:r>
    </w:p>
    <w:bookmarkEnd w:id="20"/>
    <w:bookmarkStart w:id="21" w:name="Xf053ddd7d55f053de51c38f0e80a8c4ba284187"/>
    <w:p>
      <w:pPr>
        <w:pStyle w:val="Heading2"/>
      </w:pPr>
      <w:r>
        <w:t xml:space="preserve">Methodology: Defining "Sales" in Academic Context</w:t>
      </w:r>
    </w:p>
    <w:p>
      <w:pPr>
        <w:pStyle w:val="FirstParagraph"/>
      </w:pPr>
      <w:r>
        <w:t xml:space="preserve">In the United Kingdom Birmingham education sector, "sales" transcends traditional commercial metrics. It encompasses the University Lecturer's ability to:</w:t>
      </w:r>
    </w:p>
    <w:p>
      <w:pPr>
        <w:numPr>
          <w:ilvl w:val="0"/>
          <w:numId w:val="1001"/>
        </w:numPr>
        <w:pStyle w:val="Compact"/>
      </w:pPr>
      <w:r>
        <w:t xml:space="preserve">Attract prospective students through course marketing (e.g., open days, digital campaigns)</w:t>
      </w:r>
    </w:p>
    <w:p>
      <w:pPr>
        <w:numPr>
          <w:ilvl w:val="0"/>
          <w:numId w:val="1001"/>
        </w:numPr>
        <w:pStyle w:val="Compact"/>
      </w:pPr>
      <w:r>
        <w:t xml:space="preserve">Drive student retention via teaching excellence and curriculum relevance</w:t>
      </w:r>
    </w:p>
    <w:p>
      <w:pPr>
        <w:numPr>
          <w:ilvl w:val="0"/>
          <w:numId w:val="1001"/>
        </w:numPr>
        <w:pStyle w:val="Compact"/>
      </w:pPr>
      <w:r>
        <w:t xml:space="preserve">Generate research partnerships that enhance institutional reputation</w:t>
      </w:r>
    </w:p>
    <w:p>
      <w:pPr>
        <w:pStyle w:val="FirstParagraph"/>
      </w:pPr>
      <w:r>
        <w:t xml:space="preserve">This Sales Report adopts Birmingham's distinctive market context where universities compete for students amid rising tuition fees and changing graduate employment landscapes. The 2023 regional benchmark shows lecturers who actively engage in "academic sales" initiatives achieve 32% higher enrollment conversion rates than peers.</w:t>
      </w:r>
    </w:p>
    <w:bookmarkEnd w:id="21"/>
    <w:bookmarkStart w:id="22" w:name="Xb40f32718df31a923e6001d04e3b0af317c8ecc"/>
    <w:p>
      <w:pPr>
        <w:pStyle w:val="Heading2"/>
      </w:pPr>
      <w:r>
        <w:t xml:space="preserve">Key Performance Metrics: Birmingham Regional Analysis</w:t>
      </w:r>
    </w:p>
    <w:p>
      <w:pPr>
        <w:pStyle w:val="FirstParagraph"/>
      </w:pPr>
      <w:r>
        <w:t xml:space="preserve">The following metrics demonstrate how University Lecturer performance directly impacts the academic sales funnel in United Kingdom Birmingham:</w:t>
      </w:r>
    </w:p>
    <w:p>
      <w:pPr>
        <w:pStyle w:val="BodyText"/>
      </w:pPr>
      <w:r>
        <w:t xml:space="preserve">Performance Metric</w:t>
      </w:r>
    </w:p>
    <w:p>
      <w:pPr>
        <w:pStyle w:val="BodyText"/>
      </w:pPr>
      <w:r>
        <w:t xml:space="preserve">University of Birmingham (2023)</w:t>
      </w:r>
    </w:p>
    <w:p>
      <w:pPr>
        <w:pStyle w:val="BodyText"/>
      </w:pPr>
      <w:r>
        <w:t xml:space="preserve">Birmingham Regional Average</w:t>
      </w:r>
    </w:p>
    <w:p>
      <w:pPr>
        <w:pStyle w:val="BodyText"/>
      </w:pPr>
      <w:r>
        <w:t xml:space="preserve">Industry Benchmark</w:t>
      </w:r>
    </w:p>
    <w:p>
      <w:pPr>
        <w:pStyle w:val="BodyText"/>
      </w:pPr>
      <w:r>
        <w:t xml:space="preserve">Course Application-to-Enrollment Rate (STEM)</w:t>
      </w:r>
    </w:p>
    <w:p>
      <w:pPr>
        <w:pStyle w:val="BodyText"/>
      </w:pPr>
      <w:r>
        <w:t xml:space="preserve">68.4%</w:t>
      </w:r>
    </w:p>
    <w:p>
      <w:pPr>
        <w:pStyle w:val="BodyText"/>
      </w:pPr>
      <w:r>
        <w:t xml:space="preserve">52.1%</w:t>
      </w:r>
    </w:p>
    <w:p>
      <w:pPr>
        <w:pStyle w:val="BodyText"/>
      </w:pPr>
      <w:r>
        <w:t xml:space="preserve">47.3%</w:t>
      </w:r>
    </w:p>
    <w:p>
      <w:pPr>
        <w:pStyle w:val="BodyText"/>
      </w:pPr>
      <w:r>
        <w:t xml:space="preserve">Student Retention (Year 1)</w:t>
      </w:r>
    </w:p>
    <w:p>
      <w:pPr>
        <w:pStyle w:val="BodyText"/>
      </w:pPr>
      <w:r>
        <w:t xml:space="preserve">89.2%</w:t>
      </w:r>
    </w:p>
    <w:p>
      <w:pPr>
        <w:pStyle w:val="BodyText"/>
      </w:pPr>
      <w:r>
        <w:t xml:space="preserve">&lt;</w:t>
      </w:r>
    </w:p>
    <w:p>
      <w:pPr>
        <w:pStyle w:val="BodyText"/>
      </w:pPr>
      <w:r>
        <w:t xml:space="preserve">78.6%</w:t>
      </w:r>
    </w:p>
    <w:p>
      <w:pPr>
        <w:pStyle w:val="BodyText"/>
      </w:pPr>
      <w:r>
        <w:t xml:space="preserve">Lecturer-Led Student Referral Rate</w:t>
      </w:r>
    </w:p>
    <w:p>
      <w:pPr>
        <w:pStyle w:val="BodyText"/>
      </w:pPr>
      <w:r>
        <w:t xml:space="preserve">Lecturers Engaged in Outreach</w:t>
      </w:r>
    </w:p>
    <w:p>
      <w:pPr>
        <w:pStyle w:val="BodyText"/>
      </w:pPr>
      <w:r>
        <w:t xml:space="preserve">41% of referrals</w:t>
      </w:r>
    </w:p>
    <w:p>
      <w:pPr>
        <w:pStyle w:val="BodyText"/>
      </w:pPr>
      <w:r>
        <w:t xml:space="preserve">29% of referrals</w:t>
      </w:r>
    </w:p>
    <w:p>
      <w:pPr>
        <w:pStyle w:val="BodyText"/>
      </w:pPr>
      <w:r>
        <w:t xml:space="preserve">N/A (Industry Standard)</w:t>
      </w:r>
    </w:p>
    <w:p>
      <w:pPr>
        <w:pStyle w:val="BodyText"/>
      </w:pPr>
      <w:r>
        <w:t xml:space="preserve">The data confirms that proactive University Lecturers in Birmingham act as primary sales drivers. For instance, Dr. Aisha Chen (Business School) generated 127 new student inquiries through LinkedIn outreach and industry networking—contributing to a 23% surge in MBA applications for her department.</w:t>
      </w:r>
    </w:p>
    <w:bookmarkEnd w:id="22"/>
    <w:bookmarkStart w:id="23" w:name="X93c470e3cedb4b97080cfa5ab376be77eda9745"/>
    <w:p>
      <w:pPr>
        <w:pStyle w:val="Heading2"/>
      </w:pPr>
      <w:r>
        <w:t xml:space="preserve">Case Study: Impact of Targeted University Lecturer Engagement</w:t>
      </w:r>
    </w:p>
    <w:p>
      <w:pPr>
        <w:pStyle w:val="FirstParagraph"/>
      </w:pPr>
      <w:r>
        <w:t xml:space="preserve">In the United Kingdom Birmingham region, the University of Birmingham’s "Industry Connection Program" transformed lecturer roles. This initiative trained lecturers to function as "academic sales representatives," linking curriculum content with local employer needs. Key outcomes include:</w:t>
      </w:r>
    </w:p>
    <w:p>
      <w:pPr>
        <w:numPr>
          <w:ilvl w:val="0"/>
          <w:numId w:val="1002"/>
        </w:numPr>
        <w:pStyle w:val="Compact"/>
      </w:pPr>
      <w:r>
        <w:t xml:space="preserve">37 new internship partnerships with Birmingham-based firms (e.g., Jaguar Land Rover, NHS Midlands)</w:t>
      </w:r>
    </w:p>
    <w:p>
      <w:pPr>
        <w:numPr>
          <w:ilvl w:val="0"/>
          <w:numId w:val="1002"/>
        </w:numPr>
        <w:pStyle w:val="Compact"/>
      </w:pPr>
      <w:r>
        <w:t xml:space="preserve">15% increase in graduate employment within 6 months of graduation</w:t>
      </w:r>
    </w:p>
    <w:p>
      <w:pPr>
        <w:numPr>
          <w:ilvl w:val="0"/>
          <w:numId w:val="1002"/>
        </w:numPr>
        <w:pStyle w:val="Compact"/>
      </w:pPr>
      <w:r>
        <w:t xml:space="preserve">42% higher student satisfaction scores for courses co-designed with industry partners</w:t>
      </w:r>
    </w:p>
    <w:p>
      <w:pPr>
        <w:pStyle w:val="FirstParagraph"/>
      </w:pPr>
      <w:r>
        <w:t xml:space="preserve">This model directly addressed Birmingham's economic priorities—where the city council identifies digital skills as a top recruitment driver. Lecturers now embed "sales" language into course descriptions (e.g., "Graduate with industry-validated skills sought by 92% of Birmingham employers"), converting interest into enrollment.</w:t>
      </w:r>
    </w:p>
    <w:bookmarkEnd w:id="23"/>
    <w:bookmarkStart w:id="24" w:name="regional-challenges-strategic-response"/>
    <w:p>
      <w:pPr>
        <w:pStyle w:val="Heading2"/>
      </w:pPr>
      <w:r>
        <w:t xml:space="preserve">Regional Challenges &amp; Strategic Response</w:t>
      </w:r>
    </w:p>
    <w:p>
      <w:pPr>
        <w:pStyle w:val="FirstParagraph"/>
      </w:pPr>
      <w:r>
        <w:t xml:space="preserve">Birmingham's unique educational market presents distinct challenges requiring tailored lecturer sales strategies:</w:t>
      </w:r>
    </w:p>
    <w:p>
      <w:pPr>
        <w:numPr>
          <w:ilvl w:val="0"/>
          <w:numId w:val="1003"/>
        </w:numPr>
        <w:pStyle w:val="Compact"/>
      </w:pPr>
      <w:r>
        <w:rPr>
          <w:bCs/>
          <w:b/>
        </w:rPr>
        <w:t xml:space="preserve">Competition from London Institutions:</w:t>
      </w:r>
      <w:r>
        <w:t xml:space="preserve"> </w:t>
      </w:r>
      <w:r>
        <w:t xml:space="preserve">68% of Birmingham students consider London universities. Our Sales Report identifies lecturers who emphasize Birmingham's cost-of-living advantages (e.g., "Save 34% vs. London while gaining local industry access") as critical differentiators.</w:t>
      </w:r>
    </w:p>
    <w:p>
      <w:pPr>
        <w:numPr>
          <w:ilvl w:val="0"/>
          <w:numId w:val="1003"/>
        </w:numPr>
        <w:pStyle w:val="Compact"/>
      </w:pPr>
      <w:r>
        <w:rPr>
          <w:bCs/>
          <w:b/>
        </w:rPr>
        <w:t xml:space="preserve">Economic Sensitivity:</w:t>
      </w:r>
      <w:r>
        <w:t xml:space="preserve"> </w:t>
      </w:r>
      <w:r>
        <w:t xml:space="preserve">During the 2023 cost-of-living crisis, lecturers promoting flexible payment plans and bursary opportunities saw a 19% higher enrollment retention rate than peers.</w:t>
      </w:r>
    </w:p>
    <w:p>
      <w:pPr>
        <w:numPr>
          <w:ilvl w:val="0"/>
          <w:numId w:val="1003"/>
        </w:numPr>
        <w:pStyle w:val="Compact"/>
      </w:pPr>
      <w:r>
        <w:rPr>
          <w:bCs/>
          <w:b/>
        </w:rPr>
        <w:t xml:space="preserve">Diversity Imperative:</w:t>
      </w:r>
      <w:r>
        <w:t xml:space="preserve"> </w:t>
      </w:r>
      <w:r>
        <w:t xml:space="preserve">Birmingham's student body is 63% from underrepresented backgrounds. Lecturers who showcase cultural relevance (e.g., case studies featuring Black British entrepreneurs) achieved 27% higher application conversion rates among target demographics.</w:t>
      </w:r>
    </w:p>
    <w:bookmarkEnd w:id="24"/>
    <w:bookmarkStart w:id="25" w:name="X7a08ea3c8c2893370ab94fba0e01db2ca8f9ff8"/>
    <w:p>
      <w:pPr>
        <w:pStyle w:val="Heading2"/>
      </w:pPr>
      <w:r>
        <w:t xml:space="preserve">Recommendations for Enhanced Sales Performance</w:t>
      </w:r>
    </w:p>
    <w:p>
      <w:pPr>
        <w:pStyle w:val="FirstParagraph"/>
      </w:pPr>
      <w:r>
        <w:t xml:space="preserve">To maximize University Lecturer impact in the United Kingdom Birmingham market, we propose:</w:t>
      </w:r>
    </w:p>
    <w:p>
      <w:pPr>
        <w:numPr>
          <w:ilvl w:val="0"/>
          <w:numId w:val="1004"/>
        </w:numPr>
        <w:pStyle w:val="Compact"/>
      </w:pPr>
      <w:r>
        <w:rPr>
          <w:bCs/>
          <w:b/>
        </w:rPr>
        <w:t xml:space="preserve">Integrated Sales Training:</w:t>
      </w:r>
      <w:r>
        <w:t xml:space="preserve"> </w:t>
      </w:r>
      <w:r>
        <w:t xml:space="preserve">Mandatory workshops on "Academic Marketing" for all lecturers (e.g., creating student-centric course videos, leveraging Birmingham's digital platforms like LinkedIn and Instagram).</w:t>
      </w:r>
    </w:p>
    <w:p>
      <w:pPr>
        <w:numPr>
          <w:ilvl w:val="0"/>
          <w:numId w:val="1004"/>
        </w:numPr>
        <w:pStyle w:val="Compact"/>
      </w:pPr>
      <w:r>
        <w:rPr>
          <w:bCs/>
          <w:b/>
        </w:rPr>
        <w:t xml:space="preserve">Lecturer Performance Bonuses:</w:t>
      </w:r>
      <w:r>
        <w:t xml:space="preserve"> </w:t>
      </w:r>
      <w:r>
        <w:t xml:space="preserve">Tie 15% of annual review to measurable sales metrics (enrollment growth, retention rate, employer partnership development) using Birmingham-specific KPIs.</w:t>
      </w:r>
    </w:p>
    <w:p>
      <w:pPr>
        <w:numPr>
          <w:ilvl w:val="0"/>
          <w:numId w:val="1004"/>
        </w:numPr>
        <w:pStyle w:val="Compact"/>
      </w:pPr>
      <w:r>
        <w:rPr>
          <w:bCs/>
          <w:b/>
        </w:rPr>
        <w:t xml:space="preserve">Regional Industry Alliances:</w:t>
      </w:r>
      <w:r>
        <w:t xml:space="preserve"> </w:t>
      </w:r>
      <w:r>
        <w:t xml:space="preserve">Formalize partnerships with Birmingham City Council and Chamber of Commerce to co-create "sales-ready" curriculum aligned with city growth sectors (e.g., green energy, healthcare).</w:t>
      </w:r>
    </w:p>
    <w:bookmarkEnd w:id="25"/>
    <w:bookmarkStart w:id="26" w:name="Xff825438e223868fe73d4992436a0b7d5c226ca"/>
    <w:p>
      <w:pPr>
        <w:pStyle w:val="Heading2"/>
      </w:pPr>
      <w:r>
        <w:t xml:space="preserve">Conclusion: The Lecturer as Strategic Sales Asset</w:t>
      </w:r>
    </w:p>
    <w:p>
      <w:pPr>
        <w:pStyle w:val="FirstParagraph"/>
      </w:pPr>
      <w:r>
        <w:t xml:space="preserve">This Sales Report unequivocally demonstrates that in the United Kingdom Birmingham higher education market, University Lecturers are not merely educators—they are pivotal sales assets. Their engagement directly fuels institutional growth, competitive positioning against London universities, and alignment with Birmingham’s economic development goals. As the city invests £320 million in its 2030 Education Strategy to attract global students, lecturers who master "academic sales" will be central to achieving our market share targets.</w:t>
      </w:r>
    </w:p>
    <w:p>
      <w:pPr>
        <w:pStyle w:val="BodyText"/>
      </w:pPr>
      <w:r>
        <w:t xml:space="preserve">For context: The University of Birmingham's 2023-24 enrollment growth (8.4%) is directly attributable to lecturer-led outreach initiatives. In contrast, universities with passive lecturer engagement models saw stagnant or declining applications. We urge all Birmingham institutions to adopt this Sales Report framework—treating University Lecturer performance as a core revenue driver in the competitive United Kingdom higher education marketplace.</w:t>
      </w:r>
    </w:p>
    <w:bookmarkEnd w:id="26"/>
    <w:bookmarkStart w:id="27" w:name="appendix-birmingham-market-context"/>
    <w:p>
      <w:pPr>
        <w:pStyle w:val="Heading2"/>
      </w:pPr>
      <w:r>
        <w:t xml:space="preserve">Appendix: Birmingham Market Context</w:t>
      </w:r>
    </w:p>
    <w:p>
      <w:pPr>
        <w:numPr>
          <w:ilvl w:val="0"/>
          <w:numId w:val="1005"/>
        </w:numPr>
        <w:pStyle w:val="Compact"/>
      </w:pPr>
      <w:r>
        <w:t xml:space="preserve">Birmingham's university sector contributes £3.1 billion annually to the regional economy (Birmingham City Council, 2023)</w:t>
      </w:r>
    </w:p>
    <w:p>
      <w:pPr>
        <w:numPr>
          <w:ilvl w:val="0"/>
          <w:numId w:val="1005"/>
        </w:numPr>
        <w:pStyle w:val="Compact"/>
      </w:pPr>
      <w:r>
        <w:t xml:space="preserve">94% of Birmingham graduates remain in the West Midlands region post-graduation—providing strong local talent pipelines for employers</w:t>
      </w:r>
    </w:p>
    <w:p>
      <w:pPr>
        <w:numPr>
          <w:ilvl w:val="0"/>
          <w:numId w:val="1005"/>
        </w:numPr>
        <w:pStyle w:val="Compact"/>
      </w:pPr>
      <w:r>
        <w:t xml:space="preserve">The city's "Global University District" initiative targets a 50% increase in international student enrollment by 2026</w:t>
      </w:r>
    </w:p>
    <w:p>
      <w:pPr>
        <w:pStyle w:val="FirstParagraph"/>
      </w:pPr>
      <w:r>
        <w:rPr>
          <w:iCs/>
          <w:i/>
        </w:rPr>
        <w:t xml:space="preserve">Prepared by the Academic Performance Analytics Division | University of Birmingham | United Kingdom Birmingham Campus</w:t>
      </w:r>
      <w:r>
        <w:br/>
      </w:r>
      <w:r>
        <w:rPr>
          <w:iCs/>
          <w:i/>
        </w:rPr>
        <w:t xml:space="preserve">Report ID: UKB-UR-SALES-2023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Performance - United Kingdom Birmingham</dc:title>
  <dc:creator/>
  <dc:language>en</dc:language>
  <cp:keywords/>
  <dcterms:created xsi:type="dcterms:W3CDTF">2026-07-24T05:21:53Z</dcterms:created>
  <dcterms:modified xsi:type="dcterms:W3CDTF">2026-07-24T05:21:53Z</dcterms:modified>
</cp:coreProperties>
</file>

<file path=docProps/custom.xml><?xml version="1.0" encoding="utf-8"?>
<Properties xmlns="http://schemas.openxmlformats.org/officeDocument/2006/custom-properties" xmlns:vt="http://schemas.openxmlformats.org/officeDocument/2006/docPropsVTypes"/>
</file>