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Manchester</w:t>
      </w:r>
      <w:r>
        <w:t xml:space="preserve"> </w:t>
      </w:r>
      <w:r>
        <w:t xml:space="preserve">Market</w:t>
      </w:r>
      <w:r>
        <w:t xml:space="preserve"> </w:t>
      </w:r>
      <w:r>
        <w:t xml:space="preserve">Analysis</w:t>
      </w:r>
    </w:p>
    <w:bookmarkStart w:id="30" w:name="Xb3a79d2b50929ff926f915a5ab51fa928a078c7"/>
    <w:p>
      <w:pPr>
        <w:pStyle w:val="Heading1"/>
      </w:pPr>
      <w:r>
        <w:t xml:space="preserve">Sales Report: University Lecturer Position Vacancy Analysis in United Kingdom Manchester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Manchester Higher Education Recruitment Board</w:t>
      </w:r>
      <w:r>
        <w:br/>
      </w:r>
      <w:r>
        <w:rPr>
          <w:bCs/>
          <w:b/>
        </w:rPr>
        <w:t xml:space="preserve">Report Type:</w:t>
      </w:r>
      <w:r>
        <w:t xml:space="preserve"> </w:t>
      </w:r>
      <w:r>
        <w:t xml:space="preserve">Sales Performance &amp; Market Intelligence</w:t>
      </w:r>
    </w:p>
    <w:bookmarkStart w:id="20" w:name="i.-executive-summary"/>
    <w:p>
      <w:pPr>
        <w:pStyle w:val="Heading2"/>
      </w:pPr>
      <w:r>
        <w:t xml:space="preserve">I. Executive Summary</w:t>
      </w:r>
    </w:p>
    <w:p>
      <w:pPr>
        <w:pStyle w:val="FirstParagraph"/>
      </w:pPr>
      <w:r>
        <w:t xml:space="preserve">This comprehensive Sales Report details the recruitment performance for University Lecturer positions across institutions in United Kingdom Manchester during Q3 2023. The report demonstrates a 17% year-on-year growth in lecturer vacancies within Manchester's higher education sector, with a focus on strategic alignment between institutional needs and candidate profiles. Our sales-driven recruitment approach has successfully filled 89% of targeted University Lecturer roles through tailored engagement strategies specific to the Manchester academic market. This document serves as both a performance analysis and roadmap for future talent acquisition initiatives in the United Kingdom Manchester region.</w:t>
      </w:r>
    </w:p>
    <w:bookmarkEnd w:id="20"/>
    <w:bookmarkStart w:id="22" w:name="X97de4ce2a2623dacd799afd9bde46cc1090d003"/>
    <w:p>
      <w:pPr>
        <w:pStyle w:val="Heading2"/>
      </w:pPr>
      <w:r>
        <w:t xml:space="preserve">II. Market Context: University Lecturer Demand in Manchester</w:t>
      </w:r>
    </w:p>
    <w:p>
      <w:pPr>
        <w:pStyle w:val="FirstParagraph"/>
      </w:pPr>
      <w:r>
        <w:t xml:space="preserve">Manchester stands as a pivotal hub for higher education within the United Kingdom, hosting eight major universities (including The University of Manchester, University of Salford, and Manchester Metropolitan University) that collectively employ over 15,000 academic staff. Recent government funding allocations and sector growth initiatives have created unprecedented demand for qualified University Lecturers across STEM, Business, and Social Sciences disciplines in United Kingdom Manchester. Our sales data reveals a 22% increase in lecturer vacancies compared to Q3 2022, with the most acute shortages identified in Data Science (45%), Engineering (38%), and Sustainable Business Practices (31%). This market saturation necessitates specialized recruitment strategies that address Manchester's unique academic ecosystem.</w:t>
      </w:r>
    </w:p>
    <w:bookmarkStart w:id="21" w:name="key-market-metrics---manchester-region"/>
    <w:p>
      <w:pPr>
        <w:pStyle w:val="Heading3"/>
      </w:pPr>
      <w:r>
        <w:t xml:space="preserve">Key Market Metrics - Manchester Region:</w:t>
      </w:r>
    </w:p>
    <w:p>
      <w:pPr>
        <w:pStyle w:val="FirstParagraph"/>
      </w:pPr>
      <w:r>
        <w:rPr>
          <w:bCs/>
          <w:b/>
        </w:rPr>
        <w:t xml:space="preserve">Current Vacancy Rate:</w:t>
      </w:r>
      <w:r>
        <w:t xml:space="preserve"> </w:t>
      </w:r>
      <w:r>
        <w:t xml:space="preserve">1,247 University Lecturer positions open (vs. 1,025 in Q3 2022)</w:t>
      </w:r>
    </w:p>
    <w:p>
      <w:pPr>
        <w:pStyle w:val="BodyText"/>
      </w:pPr>
      <w:r>
        <w:rPr>
          <w:bCs/>
          <w:b/>
        </w:rPr>
        <w:t xml:space="preserve">Average Time-to-Hire:</w:t>
      </w:r>
      <w:r>
        <w:t xml:space="preserve"> </w:t>
      </w:r>
      <w:r>
        <w:t xml:space="preserve">48 days (below national benchmark of 56 days)</w:t>
      </w:r>
    </w:p>
    <w:p>
      <w:pPr>
        <w:pStyle w:val="BodyText"/>
      </w:pPr>
      <w:r>
        <w:rPr>
          <w:bCs/>
          <w:b/>
        </w:rPr>
        <w:t xml:space="preserve">Top Demand Disciplines:</w:t>
      </w:r>
    </w:p>
    <w:p>
      <w:pPr>
        <w:numPr>
          <w:ilvl w:val="0"/>
          <w:numId w:val="1001"/>
        </w:numPr>
        <w:pStyle w:val="Compact"/>
      </w:pPr>
      <w:r>
        <w:t xml:space="preserve">Data Science &amp; AI: 31% of vacancies</w:t>
      </w:r>
    </w:p>
    <w:p>
      <w:pPr>
        <w:numPr>
          <w:ilvl w:val="0"/>
          <w:numId w:val="1001"/>
        </w:numPr>
        <w:pStyle w:val="Compact"/>
      </w:pPr>
      <w:r>
        <w:t xml:space="preserve">Engineering &amp; Technology: 29%</w:t>
      </w:r>
    </w:p>
    <w:p>
      <w:pPr>
        <w:numPr>
          <w:ilvl w:val="0"/>
          <w:numId w:val="1001"/>
        </w:numPr>
        <w:pStyle w:val="Compact"/>
      </w:pPr>
      <w:r>
        <w:t xml:space="preserve">Sustainability Studies: 24%</w:t>
      </w:r>
    </w:p>
    <w:bookmarkEnd w:id="21"/>
    <w:bookmarkEnd w:id="22"/>
    <w:bookmarkStart w:id="26" w:name="iii.-sales-performance-analysis"/>
    <w:p>
      <w:pPr>
        <w:pStyle w:val="Heading2"/>
      </w:pPr>
      <w:r>
        <w:t xml:space="preserve">III. Sales Performance Analysis</w:t>
      </w:r>
    </w:p>
    <w:p>
      <w:pPr>
        <w:pStyle w:val="FirstParagraph"/>
      </w:pPr>
      <w:r>
        <w:t xml:space="preserve">Our recruitment sales funnel for University Lecturer positions in Manchester has been optimized through a three-pillar approach:</w:t>
      </w:r>
    </w:p>
    <w:bookmarkStart w:id="23" w:name="X1dfdd5be1b159ceb58741e9b229a788ea68eaac"/>
    <w:p>
      <w:pPr>
        <w:pStyle w:val="Heading3"/>
      </w:pPr>
      <w:r>
        <w:t xml:space="preserve">A. Targeted Candidate Acquisition (Sales Pipeline)</w:t>
      </w:r>
    </w:p>
    <w:p>
      <w:pPr>
        <w:pStyle w:val="FirstParagraph"/>
      </w:pPr>
      <w:r>
        <w:t xml:space="preserve">We deployed AI-driven talent mapping focused specifically on United Kingdom Manchester academic networks, resulting in:</w:t>
      </w:r>
    </w:p>
    <w:p>
      <w:pPr>
        <w:numPr>
          <w:ilvl w:val="0"/>
          <w:numId w:val="1002"/>
        </w:numPr>
        <w:pStyle w:val="Compact"/>
      </w:pPr>
      <w:r>
        <w:t xml:space="preserve">58% increase in qualified applicant pool from Manchester-based universities</w:t>
      </w:r>
    </w:p>
    <w:p>
      <w:pPr>
        <w:numPr>
          <w:ilvl w:val="0"/>
          <w:numId w:val="1002"/>
        </w:numPr>
        <w:pStyle w:val="Compact"/>
      </w:pPr>
      <w:r>
        <w:t xml:space="preserve">72% of candidates sourced through institutional partnerships (vs. 41% industry standard)</w:t>
      </w:r>
    </w:p>
    <w:p>
      <w:pPr>
        <w:numPr>
          <w:ilvl w:val="0"/>
          <w:numId w:val="1002"/>
        </w:numPr>
        <w:pStyle w:val="Compact"/>
      </w:pPr>
      <w:r>
        <w:t xml:space="preserve">35% reduction in candidate acquisition costs through university co-branded marketing</w:t>
      </w:r>
    </w:p>
    <w:bookmarkEnd w:id="23"/>
    <w:bookmarkStart w:id="24" w:name="b.-value-proposition-engineering"/>
    <w:p>
      <w:pPr>
        <w:pStyle w:val="Heading3"/>
      </w:pPr>
      <w:r>
        <w:t xml:space="preserve">B. Value Proposition Engineering</w:t>
      </w:r>
    </w:p>
    <w:p>
      <w:pPr>
        <w:pStyle w:val="FirstParagraph"/>
      </w:pPr>
      <w:r>
        <w:t xml:space="preserve">Our sales team repositioned University Lecturer roles as strategic career investments, emphasizing Manchester's unique advantages:</w:t>
      </w:r>
    </w:p>
    <w:p>
      <w:pPr>
        <w:numPr>
          <w:ilvl w:val="0"/>
          <w:numId w:val="1003"/>
        </w:numPr>
        <w:pStyle w:val="Compact"/>
      </w:pPr>
      <w:r>
        <w:rPr>
          <w:iCs/>
          <w:i/>
        </w:rPr>
        <w:t xml:space="preserve">"Manchester: The UK's Innovation Corridor"</w:t>
      </w:r>
      <w:r>
        <w:t xml:space="preserve"> </w:t>
      </w:r>
      <w:r>
        <w:t xml:space="preserve">– Highlighting city-wide R&amp;D investment (£1.2bn in 2023)</w:t>
      </w:r>
    </w:p>
    <w:p>
      <w:pPr>
        <w:numPr>
          <w:ilvl w:val="0"/>
          <w:numId w:val="1003"/>
        </w:numPr>
        <w:pStyle w:val="Compact"/>
      </w:pPr>
      <w:r>
        <w:rPr>
          <w:iCs/>
          <w:i/>
        </w:rPr>
        <w:t xml:space="preserve">"Dual Career Pathways"</w:t>
      </w:r>
      <w:r>
        <w:t xml:space="preserve"> </w:t>
      </w:r>
      <w:r>
        <w:t xml:space="preserve">– Linking teaching roles with industry placements at Manchester Science Park</w:t>
      </w:r>
    </w:p>
    <w:p>
      <w:pPr>
        <w:numPr>
          <w:ilvl w:val="0"/>
          <w:numId w:val="1003"/>
        </w:numPr>
        <w:pStyle w:val="Compact"/>
      </w:pPr>
      <w:r>
        <w:rPr>
          <w:iCs/>
          <w:i/>
        </w:rPr>
        <w:t xml:space="preserve">"Cultural Integration Guarantee"</w:t>
      </w:r>
      <w:r>
        <w:t xml:space="preserve"> </w:t>
      </w:r>
      <w:r>
        <w:t xml:space="preserve">– Pre-arrival support for international lecturers through Manchester International House</w:t>
      </w:r>
    </w:p>
    <w:bookmarkEnd w:id="24"/>
    <w:bookmarkStart w:id="25" w:name="c.-conversion-rate-optimization"/>
    <w:p>
      <w:pPr>
        <w:pStyle w:val="Heading3"/>
      </w:pPr>
      <w:r>
        <w:t xml:space="preserve">C. Conversion Rate Optimization</w:t>
      </w:r>
    </w:p>
    <w:p>
      <w:pPr>
        <w:pStyle w:val="FirstParagraph"/>
      </w:pPr>
      <w:r>
        <w:t xml:space="preserve">By implementing sales-style engagement protocols, we achieved:</w:t>
      </w:r>
    </w:p>
    <w:p>
      <w:pPr>
        <w:numPr>
          <w:ilvl w:val="0"/>
          <w:numId w:val="1004"/>
        </w:numPr>
        <w:pStyle w:val="Compact"/>
      </w:pPr>
      <w:r>
        <w:t xml:space="preserve">41% interview-to-offer conversion rate (vs. 29% sector average)</w:t>
      </w:r>
    </w:p>
    <w:p>
      <w:pPr>
        <w:numPr>
          <w:ilvl w:val="0"/>
          <w:numId w:val="1004"/>
        </w:numPr>
        <w:pStyle w:val="Compact"/>
      </w:pPr>
      <w:r>
        <w:t xml:space="preserve">94% candidate satisfaction on role clarity during recruitment process</w:t>
      </w:r>
    </w:p>
    <w:p>
      <w:pPr>
        <w:numPr>
          <w:ilvl w:val="0"/>
          <w:numId w:val="1004"/>
        </w:numPr>
        <w:pStyle w:val="Compact"/>
      </w:pPr>
      <w:r>
        <w:rPr>
          <w:bCs/>
          <w:b/>
        </w:rPr>
        <w:t xml:space="preserve">Key Success Metric:</w:t>
      </w:r>
      <w:r>
        <w:t xml:space="preserve"> </w:t>
      </w:r>
      <w:r>
        <w:t xml:space="preserve">89% fill rate for priority University Lecturer roles within Manchester institutions</w:t>
      </w:r>
    </w:p>
    <w:bookmarkEnd w:id="25"/>
    <w:bookmarkEnd w:id="26"/>
    <w:bookmarkStart w:id="27" w:name="X242ca0632cb9df51e63756b1f131dbac378072a"/>
    <w:p>
      <w:pPr>
        <w:pStyle w:val="Heading2"/>
      </w:pPr>
      <w:r>
        <w:t xml:space="preserve">IV. Manchester-Specific Challenges &amp; Solutions</w:t>
      </w:r>
    </w:p>
    <w:p>
      <w:pPr>
        <w:pStyle w:val="FirstParagraph"/>
      </w:pPr>
      <w:r>
        <w:t xml:space="preserve">The unique dynamics of United Kingdom Manchester's academic market presented specific challenges requiring tailored solutions:</w:t>
      </w:r>
    </w:p>
    <w:p>
      <w:pPr>
        <w:pStyle w:val="BodyText"/>
      </w:pPr>
      <w:r>
        <w:t xml:space="preserve">Challenge</w:t>
      </w:r>
    </w:p>
    <w:p>
      <w:pPr>
        <w:pStyle w:val="BodyText"/>
      </w:pPr>
      <w:r>
        <w:t xml:space="preserve">Sales Response Strategy</w:t>
      </w:r>
    </w:p>
    <w:p>
      <w:pPr>
        <w:pStyle w:val="BodyText"/>
      </w:pPr>
      <w:r>
        <w:t xml:space="preserve">Manchester-Specific Impact</w:t>
      </w:r>
    </w:p>
    <w:p>
      <w:pPr>
        <w:pStyle w:val="BodyText"/>
      </w:pPr>
      <w:r>
        <w:t xml:space="preserve">Competition from London Universities</w:t>
      </w:r>
    </w:p>
    <w:p>
      <w:pPr>
        <w:pStyle w:val="BodyText"/>
      </w:pPr>
      <w:r>
        <w:t xml:space="preserve">Negotiated Manchester-specific relocation packages (including £5k city subsidy)</w:t>
      </w:r>
    </w:p>
    <w:p>
      <w:pPr>
        <w:pStyle w:val="BodyText"/>
      </w:pPr>
      <w:r>
        <w:t xml:space="preserve">Reduced candidate poaching by 63%</w:t>
      </w:r>
    </w:p>
    <w:p>
      <w:pPr>
        <w:pStyle w:val="BodyText"/>
      </w:pPr>
      <w:r>
        <w:t xml:space="preserve">International Lecturer Visa Complexities</w:t>
      </w:r>
    </w:p>
    <w:p>
      <w:pPr>
        <w:pStyle w:val="BodyText"/>
      </w:pPr>
      <w:r>
        <w:t xml:space="preserve">Partnered with Manchester Immigration Services for expedited sponsorship processing</w:t>
      </w:r>
    </w:p>
    <w:p>
      <w:pPr>
        <w:pStyle w:val="BodyText"/>
      </w:pPr>
      <w:r>
        <w:t xml:space="preserve">Shortened visa timelines by 47%</w:t>
      </w:r>
    </w:p>
    <w:p>
      <w:pPr>
        <w:pStyle w:val="BodyText"/>
      </w:pPr>
      <w:r>
        <w:t xml:space="preserve">Diverse University Culture Expectations</w:t>
      </w:r>
    </w:p>
    <w:bookmarkEnd w:id="27"/>
    <w:bookmarkStart w:id="28" w:name="X1fba8f1ada192ccf6a2ca7e969b8dad36b13754"/>
    <w:p>
      <w:pPr>
        <w:pStyle w:val="Heading2"/>
      </w:pPr>
      <w:r>
        <w:t xml:space="preserve">V. Strategic Recommendations for Future Sales Cycles</w:t>
      </w:r>
    </w:p>
    <w:p>
      <w:pPr>
        <w:pStyle w:val="FirstParagraph"/>
      </w:pPr>
      <w:r>
        <w:t xml:space="preserve">Based on Q3 performance metrics, we recommend these action items for United Kingdom Manchester University Lecturer recruitment:</w:t>
      </w:r>
    </w:p>
    <w:p>
      <w:pPr>
        <w:numPr>
          <w:ilvl w:val="0"/>
          <w:numId w:val="1005"/>
        </w:numPr>
        <w:pStyle w:val="Compact"/>
      </w:pPr>
      <w:r>
        <w:rPr>
          <w:bCs/>
          <w:b/>
        </w:rPr>
        <w:t xml:space="preserve">Launch "Manchester Academic Accelerator" Program:</w:t>
      </w:r>
      <w:r>
        <w:t xml:space="preserve"> </w:t>
      </w:r>
      <w:r>
        <w:t xml:space="preserve">A 6-month onboarding initiative co-developed with city employers to bridge teaching and industry experience. Projected to increase role retention by 28%.</w:t>
      </w:r>
    </w:p>
    <w:p>
      <w:pPr>
        <w:numPr>
          <w:ilvl w:val="0"/>
          <w:numId w:val="1005"/>
        </w:numPr>
        <w:pStyle w:val="Compact"/>
      </w:pPr>
      <w:r>
        <w:rPr>
          <w:bCs/>
          <w:b/>
        </w:rPr>
        <w:t xml:space="preserve">Create Discipline-Specific Sales Playbooks:</w:t>
      </w:r>
      <w:r>
        <w:t xml:space="preserve"> </w:t>
      </w:r>
      <w:r>
        <w:t xml:space="preserve">Develop Manchester-focused materials for STEM (leveraging CityVerve IoT projects) and Social Sciences (tying into Greater Manchester's poverty reduction initiatives).</w:t>
      </w:r>
    </w:p>
    <w:p>
      <w:pPr>
        <w:numPr>
          <w:ilvl w:val="0"/>
          <w:numId w:val="1005"/>
        </w:numPr>
        <w:pStyle w:val="Compact"/>
      </w:pPr>
      <w:r>
        <w:rPr>
          <w:bCs/>
          <w:b/>
        </w:rPr>
        <w:t xml:space="preserve">Implement Predictive Vacancy Forecasting:</w:t>
      </w:r>
      <w:r>
        <w:t xml:space="preserve"> </w:t>
      </w:r>
      <w:r>
        <w:t xml:space="preserve">Utilize AI models trained on Manchester's 2023-2025 education budget allocations to anticipate 90% of future lecturer needs.</w:t>
      </w:r>
    </w:p>
    <w:p>
      <w:pPr>
        <w:numPr>
          <w:ilvl w:val="0"/>
          <w:numId w:val="1005"/>
        </w:numPr>
        <w:pStyle w:val="Compact"/>
      </w:pPr>
      <w:r>
        <w:rPr>
          <w:bCs/>
          <w:b/>
        </w:rPr>
        <w:t xml:space="preserve">Establish Manchester Alumni Ambassador Network:</w:t>
      </w:r>
      <w:r>
        <w:t xml:space="preserve"> </w:t>
      </w:r>
      <w:r>
        <w:t xml:space="preserve">Engage former lecturers for peer-to-peer recruitment, capitalizing on the city's strong alumni retention (76% stay in Greater Manchester post-graduation).</w:t>
      </w:r>
    </w:p>
    <w:bookmarkEnd w:id="28"/>
    <w:bookmarkStart w:id="29" w:name="Xc114fdeedfd706d3b4249cd49f659e7a43eb1df"/>
    <w:p>
      <w:pPr>
        <w:pStyle w:val="Heading2"/>
      </w:pPr>
      <w:r>
        <w:t xml:space="preserve">VI. Conclusion: The Future of University Lecturer Sales in United Kingdom Manchester</w:t>
      </w:r>
    </w:p>
    <w:p>
      <w:pPr>
        <w:pStyle w:val="FirstParagraph"/>
      </w:pPr>
      <w:r>
        <w:t xml:space="preserve">This Sales Report confirms that Manchester has evolved beyond a traditional university town into a dynamic academic sales hub where talent acquisition is intrinsically linked to city-wide economic development. Our data-driven approach to selling University Lecturer positions has transformed recruitment from transactional activity into strategic partnership with Manchester's educational ecosystem. The 89% fill rate demonstrates how targeted market understanding – combined with the unique value proposition of United Kingdom Manchester as an academic destination – drives measurable sales success.</w:t>
      </w:r>
    </w:p>
    <w:p>
      <w:pPr>
        <w:pStyle w:val="BodyText"/>
      </w:pPr>
      <w:r>
        <w:t xml:space="preserve">Looking ahead, we project a 15-20% annual increase in University Lecturer vacancies across Manchester institutions through 2025, driven by government initiatives like the Northern Powerhouse Partnership. Our sales strategy will continue to evolve with the market, ensuring that every recruitment initiative for a University Lecturer position in United Kingdom Manchester delivers exceptional candidate experiences while meeting institutional growth objectives.</w:t>
      </w:r>
    </w:p>
    <w:p>
      <w:pPr>
        <w:pStyle w:val="BodyText"/>
      </w:pPr>
      <w:r>
        <w:rPr>
          <w:bCs/>
          <w:b/>
        </w:rPr>
        <w:t xml:space="preserve">Prepared By:</w:t>
      </w:r>
      <w:r>
        <w:t xml:space="preserve"> </w:t>
      </w:r>
      <w:r>
        <w:t xml:space="preserve">Academic Talent Solutions Division</w:t>
      </w:r>
      <w:r>
        <w:br/>
      </w:r>
      <w:r>
        <w:rPr>
          <w:bCs/>
          <w:b/>
        </w:rPr>
        <w:t xml:space="preserve">Manchester Office Address:</w:t>
      </w:r>
      <w:r>
        <w:t xml:space="preserve"> </w:t>
      </w:r>
      <w:r>
        <w:t xml:space="preserve">120 Deansgate, Manchester M3 4FP, United Kingdom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United Kingdom Manchester Market Analysis</dc:title>
  <dc:creator/>
  <dc:language>en</dc:language>
  <cp:keywords/>
  <dcterms:created xsi:type="dcterms:W3CDTF">2025-12-11T17:03:32Z</dcterms:created>
  <dcterms:modified xsi:type="dcterms:W3CDTF">2025-12-11T17:03:32Z</dcterms:modified>
</cp:coreProperties>
</file>

<file path=docProps/custom.xml><?xml version="1.0" encoding="utf-8"?>
<Properties xmlns="http://schemas.openxmlformats.org/officeDocument/2006/custom-properties" xmlns:vt="http://schemas.openxmlformats.org/officeDocument/2006/docPropsVTypes"/>
</file>