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Miami</w:t>
      </w:r>
      <w:r>
        <w:t xml:space="preserve"> </w:t>
      </w:r>
      <w:r>
        <w:t xml:space="preserve">Market</w:t>
      </w:r>
      <w:r>
        <w:t xml:space="preserve"> </w:t>
      </w:r>
      <w:r>
        <w:t xml:space="preserve">Analysis</w:t>
      </w:r>
    </w:p>
    <w:bookmarkStart w:id="27" w:name="Xdc039e628ea1685f1ded10b8fa5a40db3aea4cb"/>
    <w:p>
      <w:pPr>
        <w:pStyle w:val="Heading1"/>
      </w:pPr>
      <w:r>
        <w:t xml:space="preserve">Comprehensive Sales Report: University Lecturer Recruitment &amp; Market Performance in United States Miami</w:t>
      </w:r>
    </w:p>
    <w:bookmarkStart w:id="20" w:name="executive-summary"/>
    <w:p>
      <w:pPr>
        <w:pStyle w:val="Heading2"/>
      </w:pPr>
      <w:r>
        <w:t xml:space="preserve">Executive Summary</w:t>
      </w:r>
    </w:p>
    <w:p>
      <w:pPr>
        <w:pStyle w:val="FirstParagraph"/>
      </w:pPr>
      <w:r>
        <w:t xml:space="preserve">This official Sales Report details the recruitment performance, market dynamics, and strategic opportunities for University Lecturer positions across higher education institutions in the United States Miami metropolitan area. As a critical sales document for academic staffing solutions, this report confirms that Miami has emerged as one of the fastest-growing markets for university lecturer placements in Florida's Southeast corridor. The current quarter (Q3 2023) demonstrates a 27% year-over-year increase in demand for University Lecturer roles compared to historical averages, driven by institutional expansion and demographic shifts across South Florida. This Sales Report serves as the definitive analysis for stakeholders investing in academic talent acquisition within United States Miami.</w:t>
      </w:r>
    </w:p>
    <w:bookmarkEnd w:id="20"/>
    <w:bookmarkStart w:id="21" w:name="X172bc4fec5f646fb0f5b861caa63cb75348793a"/>
    <w:p>
      <w:pPr>
        <w:pStyle w:val="Heading2"/>
      </w:pPr>
      <w:r>
        <w:t xml:space="preserve">Market Analysis: United States Miami Context</w:t>
      </w:r>
    </w:p>
    <w:p>
      <w:pPr>
        <w:pStyle w:val="FirstParagraph"/>
      </w:pPr>
      <w:r>
        <w:t xml:space="preserve">The Miami education landscape has undergone significant transformation, positioning it as a premier destination for higher learning innovation in the United States. With 14 major universities (including FIU, UM, Nova Southeastern) and 35+ private institutions operating within the metro area, demand for specialized University Lecturers has surged. Our Sales Report identifies three key drivers:</w:t>
      </w:r>
    </w:p>
    <w:p>
      <w:pPr>
        <w:numPr>
          <w:ilvl w:val="0"/>
          <w:numId w:val="1001"/>
        </w:numPr>
        <w:pStyle w:val="Compact"/>
      </w:pPr>
      <w:r>
        <w:rPr>
          <w:bCs/>
          <w:b/>
        </w:rPr>
        <w:t xml:space="preserve">Demographic Expansion:</w:t>
      </w:r>
      <w:r>
        <w:t xml:space="preserve"> </w:t>
      </w:r>
      <w:r>
        <w:t xml:space="preserve">Miami-Dade County's student population grew by 18% in the last two years, creating immediate need for additional University Lecturers across STEM, Business, and International Studies</w:t>
      </w:r>
    </w:p>
    <w:p>
      <w:pPr>
        <w:numPr>
          <w:ilvl w:val="0"/>
          <w:numId w:val="1001"/>
        </w:numPr>
        <w:pStyle w:val="Compact"/>
      </w:pPr>
      <w:r>
        <w:rPr>
          <w:bCs/>
          <w:b/>
        </w:rPr>
        <w:t xml:space="preserve">Industry Alignment:</w:t>
      </w:r>
      <w:r>
        <w:t xml:space="preserve"> </w:t>
      </w:r>
      <w:r>
        <w:t xml:space="preserve">Local corporate partnerships (e.g., with TechMiami and Healthcare Florida) require lecturers with industry experience – a premium in our Miami sales pipeline</w:t>
      </w:r>
    </w:p>
    <w:p>
      <w:pPr>
        <w:numPr>
          <w:ilvl w:val="0"/>
          <w:numId w:val="1001"/>
        </w:numPr>
        <w:pStyle w:val="Compact"/>
      </w:pPr>
      <w:r>
        <w:rPr>
          <w:bCs/>
          <w:b/>
        </w:rPr>
        <w:t xml:space="preserve">Immigration Impact:</w:t>
      </w:r>
      <w:r>
        <w:t xml:space="preserve"> </w:t>
      </w:r>
      <w:r>
        <w:t xml:space="preserve">42% of new students in Miami universities are international, demanding University Lecturers fluent in bilingual education and cross-cultural curriculum design</w:t>
      </w:r>
    </w:p>
    <w:bookmarkEnd w:id="21"/>
    <w:bookmarkStart w:id="22" w:name="X51eaeccaccc56186884b7393dbc64fd271534da"/>
    <w:p>
      <w:pPr>
        <w:pStyle w:val="Heading2"/>
      </w:pPr>
      <w:r>
        <w:t xml:space="preserve">Sales Performance Breakdown: United States Miami Market</w:t>
      </w:r>
    </w:p>
    <w:p>
      <w:pPr>
        <w:pStyle w:val="FirstParagraph"/>
      </w:pPr>
      <w:r>
        <w:t xml:space="preserve">Category</w:t>
      </w:r>
    </w:p>
    <w:p>
      <w:pPr>
        <w:pStyle w:val="BodyText"/>
      </w:pPr>
      <w:r>
        <w:t xml:space="preserve">Q3 2023 Volume</w:t>
      </w:r>
    </w:p>
    <w:p>
      <w:pPr>
        <w:pStyle w:val="BodyText"/>
      </w:pPr>
      <w:r>
        <w:t xml:space="preserve">% Change YoY</w:t>
      </w:r>
    </w:p>
    <w:p>
      <w:pPr>
        <w:pStyle w:val="BodyText"/>
      </w:pPr>
      <w:r>
        <w:t xml:space="preserve">Target Achievement</w:t>
      </w:r>
    </w:p>
    <w:p>
      <w:pPr>
        <w:pStyle w:val="BodyText"/>
      </w:pPr>
      <w:r>
        <w:t xml:space="preserve">University Lecturer Placements (Miami)</w:t>
      </w:r>
    </w:p>
    <w:p>
      <w:pPr>
        <w:pStyle w:val="BodyText"/>
      </w:pPr>
      <w:r>
        <w:t xml:space="preserve">147 positions</w:t>
      </w:r>
    </w:p>
    <w:p>
      <w:pPr>
        <w:pStyle w:val="BodyText"/>
      </w:pPr>
      <w:r>
        <w:t xml:space="preserve">+27%</w:t>
      </w:r>
    </w:p>
    <w:p>
      <w:pPr>
        <w:pStyle w:val="BodyText"/>
      </w:pPr>
      <w:r>
        <w:t xml:space="preserve">98% of target</w:t>
      </w:r>
    </w:p>
    <w:p>
      <w:pPr>
        <w:pStyle w:val="BodyText"/>
      </w:pPr>
      <w:r>
        <w:t xml:space="preserve">Average Time-to-Hire</w:t>
      </w:r>
    </w:p>
    <w:p>
      <w:pPr>
        <w:pStyle w:val="BodyText"/>
      </w:pPr>
      <w:r>
        <w:t xml:space="preserve">32 days</w:t>
      </w:r>
    </w:p>
    <w:p>
      <w:pPr>
        <w:pStyle w:val="BodyText"/>
      </w:pPr>
      <w:r>
        <w:t xml:space="preserve">&lt;</w:t>
      </w:r>
    </w:p>
    <w:p>
      <w:pPr>
        <w:pStyle w:val="BodyText"/>
      </w:pPr>
      <w:r>
        <w:t xml:space="preserve">-15% vs Q2 2023</w:t>
      </w:r>
    </w:p>
    <w:p>
      <w:pPr>
        <w:pStyle w:val="BodyText"/>
      </w:pPr>
      <w:r>
        <w:t xml:space="preserve">Exceeded standard by 8 days</w:t>
      </w:r>
    </w:p>
    <w:p>
      <w:pPr>
        <w:pStyle w:val="BodyText"/>
      </w:pPr>
      <w:r>
        <w:t xml:space="preserve">Specialized Lecturer Demand (STEM/Business)</w:t>
      </w:r>
    </w:p>
    <w:p>
      <w:pPr>
        <w:pStyle w:val="BodyText"/>
      </w:pPr>
      <w:r>
        <w:t xml:space="preserve">68 positions</w:t>
      </w:r>
    </w:p>
    <w:p>
      <w:pPr>
        <w:pStyle w:val="BodyText"/>
      </w:pPr>
      <w:r>
        <w:t xml:space="preserve">+41%</w:t>
      </w:r>
    </w:p>
    <w:p>
      <w:pPr>
        <w:pStyle w:val="BodyText"/>
      </w:pPr>
      <w:r>
        <w:rPr>
          <w:bCs/>
          <w:b/>
        </w:rPr>
        <w:t xml:space="preserve">Top Performer in Sales Report</w:t>
      </w:r>
    </w:p>
    <w:p>
      <w:pPr>
        <w:pStyle w:val="BodyText"/>
      </w:pPr>
      <w:r>
        <w:t xml:space="preserve">Bilingual Lecturer Requests</w:t>
      </w:r>
    </w:p>
    <w:p>
      <w:pPr>
        <w:pStyle w:val="BodyText"/>
      </w:pPr>
      <w:r>
        <w:t xml:space="preserve">49% of total demand</w:t>
      </w:r>
    </w:p>
    <w:p>
      <w:pPr>
        <w:pStyle w:val="BodyText"/>
      </w:pPr>
      <w:r>
        <w:t xml:space="preserve">71 positions</w:t>
      </w:r>
    </w:p>
    <w:p>
      <w:pPr>
        <w:pStyle w:val="BodyText"/>
      </w:pPr>
      <w:r>
        <w:t xml:space="preserve">+35%</w:t>
      </w:r>
    </w:p>
    <w:p>
      <w:pPr>
        <w:pStyle w:val="BodyText"/>
      </w:pPr>
      <w:r>
        <w:t xml:space="preserve">Consistently exceeding market needs</w:t>
      </w:r>
    </w:p>
    <w:bookmarkEnd w:id="22"/>
    <w:bookmarkStart w:id="23" w:name="X5e65185611939530784a5a85b2c833818052ed9"/>
    <w:p>
      <w:pPr>
        <w:pStyle w:val="Heading2"/>
      </w:pPr>
      <w:r>
        <w:t xml:space="preserve">Critical Success Factors for University Lecturer Sales in Miami</w:t>
      </w:r>
    </w:p>
    <w:p>
      <w:pPr>
        <w:pStyle w:val="FirstParagraph"/>
      </w:pPr>
      <w:r>
        <w:t xml:space="preserve">Our Sales Report reveals three non-negotiable elements driving successful University Lecturer placements in United States Miami:</w:t>
      </w:r>
      <w:r>
        <w:t xml:space="preserve"> </w:t>
      </w:r>
      <w:r>
        <w:rPr>
          <w:bCs/>
          <w:b/>
        </w:rPr>
        <w:t xml:space="preserve">1. Localized Curriculum Expertise:</w:t>
      </w:r>
      <w:r>
        <w:t xml:space="preserve"> </w:t>
      </w:r>
      <w:r>
        <w:t xml:space="preserve">92% of Miami institutions require lecturers familiar with South Florida's socioeconomic context (e.g., Latin American business practices, Caribbean studies). Candidates possessing this regional knowledge achieved 4.2x higher placement success rates per our Sales Report metrics.</w:t>
      </w:r>
      <w:r>
        <w:t xml:space="preserve"> </w:t>
      </w:r>
      <w:r>
        <w:rPr>
          <w:bCs/>
          <w:b/>
        </w:rPr>
        <w:t xml:space="preserve">2. Tech-Integration Proficiency:</w:t>
      </w:r>
      <w:r>
        <w:t xml:space="preserve"> </w:t>
      </w:r>
      <w:r>
        <w:t xml:space="preserve">Institutions now mandate lecturers skilled in virtual learning platforms (Canvas, Blackboard) with Miami-specific digital adoption rates at 89%. Lecturers certified in adaptive learning technologies showed a 33% faster sales cycle.</w:t>
      </w:r>
      <w:r>
        <w:t xml:space="preserve"> </w:t>
      </w:r>
      <w:r>
        <w:rPr>
          <w:bCs/>
          <w:b/>
        </w:rPr>
        <w:t xml:space="preserve">3. Community Engagement Capability:</w:t>
      </w:r>
      <w:r>
        <w:t xml:space="preserve"> </w:t>
      </w:r>
      <w:r>
        <w:t xml:space="preserve">Miami universities prioritize lecturers participating in community initiatives (e.g., Miami-Dade Public Library partnerships). Sales data confirms this criterion increased retention rates by 57% – directly impacting long-term sales viability for our University Lecturer recruitment agency.</w:t>
      </w:r>
    </w:p>
    <w:bookmarkEnd w:id="23"/>
    <w:bookmarkStart w:id="24" w:name="competitive-landscape-analysis"/>
    <w:p>
      <w:pPr>
        <w:pStyle w:val="Heading2"/>
      </w:pPr>
      <w:r>
        <w:t xml:space="preserve">Competitive Landscape Analysis</w:t>
      </w:r>
    </w:p>
    <w:p>
      <w:pPr>
        <w:pStyle w:val="FirstParagraph"/>
      </w:pPr>
      <w:r>
        <w:t xml:space="preserve">In the United States Miami academic job market, we've outperformed regional competitors by 19% in placement speed. Our Sales Report attributes this to:</w:t>
      </w:r>
    </w:p>
    <w:p>
      <w:pPr>
        <w:numPr>
          <w:ilvl w:val="0"/>
          <w:numId w:val="1002"/>
        </w:numPr>
        <w:pStyle w:val="Compact"/>
      </w:pPr>
      <w:r>
        <w:t xml:space="preserve">Exclusive partnerships with University of Miami's International Center for Advanced Studies</w:t>
      </w:r>
    </w:p>
    <w:p>
      <w:pPr>
        <w:numPr>
          <w:ilvl w:val="0"/>
          <w:numId w:val="1002"/>
        </w:numPr>
        <w:pStyle w:val="Compact"/>
      </w:pPr>
      <w:r>
        <w:t xml:space="preserve">Dedicated Miami recruitment team with local cultural fluency</w:t>
      </w:r>
    </w:p>
    <w:p>
      <w:pPr>
        <w:numPr>
          <w:ilvl w:val="0"/>
          <w:numId w:val="1002"/>
        </w:numPr>
        <w:pStyle w:val="Compact"/>
      </w:pPr>
      <w:r>
        <w:t xml:space="preserve">Real-time market analytics platform tracking lecturer demand spikes across 50+ South Florida campuses</w:t>
      </w:r>
    </w:p>
    <w:p>
      <w:pPr>
        <w:pStyle w:val="FirstParagraph"/>
      </w:pPr>
      <w:r>
        <w:t xml:space="preserve">Notably, the University Lecturer sales cycle has shortened from 48 to 32 days since implementing our Miami-specific strategy – a critical advantage in this competitive market. The Sales Report confirms that institutions in United States Miami now prioritize vendors with demonstrated local success over national providers.</w:t>
      </w:r>
    </w:p>
    <w:bookmarkEnd w:id="24"/>
    <w:bookmarkStart w:id="25" w:name="Xd33f798737f31ad4b7d61becc74e137d9612f39"/>
    <w:p>
      <w:pPr>
        <w:pStyle w:val="Heading2"/>
      </w:pPr>
      <w:r>
        <w:t xml:space="preserve">Strategic Recommendations for Future University Lecturer Sales</w:t>
      </w:r>
    </w:p>
    <w:p>
      <w:pPr>
        <w:pStyle w:val="FirstParagraph"/>
      </w:pPr>
      <w:r>
        <w:t xml:space="preserve">Based on comprehensive analysis from this Sales Report, we recommend three immediate actions:</w:t>
      </w:r>
    </w:p>
    <w:p>
      <w:pPr>
        <w:numPr>
          <w:ilvl w:val="0"/>
          <w:numId w:val="1003"/>
        </w:numPr>
        <w:pStyle w:val="Compact"/>
      </w:pPr>
      <w:r>
        <w:rPr>
          <w:bCs/>
          <w:b/>
        </w:rPr>
        <w:t xml:space="preserve">Expand Bilingual Talent Pools:</w:t>
      </w:r>
      <w:r>
        <w:t xml:space="preserve"> </w:t>
      </w:r>
      <w:r>
        <w:t xml:space="preserve">Allocate 30% of recruitment budget to Spanish/Portuguese-speaking lecturers – a segment where Miami demand exceeds supply by 61% (per current Sales Report data).</w:t>
      </w:r>
    </w:p>
    <w:p>
      <w:pPr>
        <w:numPr>
          <w:ilvl w:val="0"/>
          <w:numId w:val="1003"/>
        </w:numPr>
        <w:pStyle w:val="Compact"/>
      </w:pPr>
      <w:r>
        <w:rPr>
          <w:bCs/>
          <w:b/>
        </w:rPr>
        <w:t xml:space="preserve">Develop Industry-Partnered Curriculum Programs:</w:t>
      </w:r>
      <w:r>
        <w:t xml:space="preserve"> </w:t>
      </w:r>
      <w:r>
        <w:t xml:space="preserve">Create joint certification programs with Miami-based corporations (e.g., Accenture, Carnival Cruise Lines) to develop lecturer candidates with industry credentials.</w:t>
      </w:r>
    </w:p>
    <w:p>
      <w:pPr>
        <w:numPr>
          <w:ilvl w:val="0"/>
          <w:numId w:val="1003"/>
        </w:numPr>
        <w:pStyle w:val="Compact"/>
      </w:pPr>
      <w:r>
        <w:rPr>
          <w:bCs/>
          <w:b/>
        </w:rPr>
        <w:t xml:space="preserve">Leverage Miami-Specific Events:</w:t>
      </w:r>
      <w:r>
        <w:t xml:space="preserve"> </w:t>
      </w:r>
      <w:r>
        <w:t xml:space="preserve">Host quarterly "Academic Talent Summits" in downtown Miami targeting University Lecturer placements – projected to increase sales volume by 22% based on pilot event results.</w:t>
      </w:r>
    </w:p>
    <w:bookmarkEnd w:id="25"/>
    <w:bookmarkStart w:id="26" w:name="X59a69bbe40e26310b92557aa9db4ea9f2516381"/>
    <w:p>
      <w:pPr>
        <w:pStyle w:val="Heading2"/>
      </w:pPr>
      <w:r>
        <w:t xml:space="preserve">Conclusion: The Future of University Lecturer Sales in United States Miami</w:t>
      </w:r>
    </w:p>
    <w:p>
      <w:pPr>
        <w:pStyle w:val="FirstParagraph"/>
      </w:pPr>
      <w:r>
        <w:t xml:space="preserve">This Sales Report unequivocally positions the United States Miami market as the most dynamic academic recruitment corridor in the Southeast United States. With institutional investments exceeding $1.2 billion for new campus facilities and programs through 2025, demand for University Lecturers will continue growing at 18-23% annually. Our agency's Miami-specific approach has already secured a leading market share (34%), but aggressive expansion in bilingual talent acquisition is essential to maintain this position.</w:t>
      </w:r>
      <w:r>
        <w:t xml:space="preserve"> </w:t>
      </w:r>
      <w:r>
        <w:rPr>
          <w:bCs/>
          <w:b/>
        </w:rPr>
        <w:t xml:space="preserve">Key Takeaway:</w:t>
      </w:r>
      <w:r>
        <w:t xml:space="preserve"> </w:t>
      </w:r>
      <w:r>
        <w:t xml:space="preserve">In the competitive landscape of United States Miami, University Lecturer sales success hinges on hyper-localized expertise – not generic recruitment strategies. This Sales Report proves that institutions no longer accept national vendor models; they demand Miami-ready lecturers who understand our unique educational ecosystem. As we scale this approach, our sales pipeline for University Lecturer positions will become the benchmark for academic recruitment across all major U.S. metropolitan markets.</w:t>
      </w:r>
    </w:p>
    <w:p>
      <w:pPr>
        <w:pStyle w:val="BodyText"/>
      </w:pPr>
      <w:r>
        <w:rPr>
          <w:bCs/>
          <w:b/>
        </w:rPr>
        <w:t xml:space="preserve">Prepared by:</w:t>
      </w:r>
      <w:r>
        <w:t xml:space="preserve"> </w:t>
      </w:r>
      <w:r>
        <w:t xml:space="preserve">Academic Talent Solutions Division | Sales Report Date: September 28,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United States Miami Market Analysis</dc:title>
  <dc:creator/>
  <dc:language>en</dc:language>
  <cp:keywords/>
  <dcterms:created xsi:type="dcterms:W3CDTF">2025-12-11T06:27:44Z</dcterms:created>
  <dcterms:modified xsi:type="dcterms:W3CDTF">2025-12-11T06:27:44Z</dcterms:modified>
</cp:coreProperties>
</file>

<file path=docProps/custom.xml><?xml version="1.0" encoding="utf-8"?>
<Properties xmlns="http://schemas.openxmlformats.org/officeDocument/2006/custom-properties" xmlns:vt="http://schemas.openxmlformats.org/officeDocument/2006/docPropsVTypes"/>
</file>