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Professional</w:t>
      </w:r>
      <w:r>
        <w:t xml:space="preserve"> </w:t>
      </w:r>
      <w:r>
        <w:t xml:space="preserve">Development</w:t>
      </w:r>
      <w:r>
        <w:t xml:space="preserve"> </w:t>
      </w:r>
      <w:r>
        <w:t xml:space="preserve">Services</w:t>
      </w:r>
      <w:r>
        <w:t xml:space="preserve"> </w:t>
      </w:r>
      <w:r>
        <w:t xml:space="preserve">-</w:t>
      </w:r>
      <w:r>
        <w:t xml:space="preserve"> </w:t>
      </w:r>
      <w:r>
        <w:t xml:space="preserve">New</w:t>
      </w:r>
      <w:r>
        <w:t xml:space="preserve"> </w:t>
      </w:r>
      <w:r>
        <w:t xml:space="preserve">York</w:t>
      </w:r>
      <w:r>
        <w:t xml:space="preserve"> </w:t>
      </w:r>
      <w:r>
        <w:t xml:space="preserve">City</w:t>
      </w:r>
    </w:p>
    <w:bookmarkStart w:id="28" w:name="X96bd2b244965445dea2b9f6c48853e82cf74d41"/>
    <w:p>
      <w:pPr>
        <w:pStyle w:val="Heading1"/>
      </w:pPr>
      <w:r>
        <w:t xml:space="preserve">Sales Report: University Lecturer Professional Development Services in the United States New York City Market</w:t>
      </w:r>
    </w:p>
    <w:bookmarkStart w:id="20" w:name="executive-summary"/>
    <w:p>
      <w:pPr>
        <w:pStyle w:val="Heading2"/>
      </w:pPr>
      <w:r>
        <w:t xml:space="preserve">Executive Summary</w:t>
      </w:r>
    </w:p>
    <w:p>
      <w:pPr>
        <w:pStyle w:val="FirstParagraph"/>
      </w:pPr>
      <w:r>
        <w:t xml:space="preserve">This comprehensive Sales Report details the performance of professional development services targeting University Lecturers across the United States, with primary focus on New York City. The data reflects Q3 2023 sales activity from our educational solutions provider, highlighting unprecedented growth in demand for lecturer-centric training programs within NYC's higher education ecosystem. As New York City continues to solidify its position as America's premier academic hub, this report underscores how tailored sales strategies aligned with University Lecturer needs have driven a 47% year-over-year revenue increase, reaching $2.3M in the metropolitan area alone.</w:t>
      </w:r>
    </w:p>
    <w:bookmarkEnd w:id="20"/>
    <w:bookmarkStart w:id="21" w:name="X763dc961119c3e3b14cce7e23a1714b8fb43c61"/>
    <w:p>
      <w:pPr>
        <w:pStyle w:val="Heading2"/>
      </w:pPr>
      <w:r>
        <w:t xml:space="preserve">Market Context: University Lecturers in New York City</w:t>
      </w:r>
    </w:p>
    <w:p>
      <w:pPr>
        <w:pStyle w:val="FirstParagraph"/>
      </w:pPr>
      <w:r>
        <w:t xml:space="preserve">New York City houses 38 degree-granting institutions with over 150,000 faculty members—including approximately 45% identified as University Lecturers (non-tenure track teaching-focused professionals). In the United States, these educators represent a rapidly growing segment requiring specialized development resources. NYC's unique academic landscape—characterized by world-class research universities (Columbia, NYU), public colleges (CUNY system), and niche institutions—creates concentrated demand for services addressing lecturer-specific challenges: large class sizes, diverse student populations, budget constraints, and evolving pedagogical expectations.</w:t>
      </w:r>
    </w:p>
    <w:p>
      <w:pPr>
        <w:pStyle w:val="BodyText"/>
      </w:pPr>
      <w:r>
        <w:t xml:space="preserve">This market demands solutions that understand the distinct pressures faced by University Lecturers in NYC. Unlike tenure-track faculty, lecturers often manage 4+ courses per semester with limited administrative support. Our sales strategy has therefore prioritized solutions addressing immediate classroom needs rather than long-term career advancement—aligning precisely with NYC's lecturer workforce realities.</w:t>
      </w:r>
    </w:p>
    <w:bookmarkEnd w:id="21"/>
    <w:bookmarkStart w:id="22" w:name="q3-2023-sales-performance-highlights"/>
    <w:p>
      <w:pPr>
        <w:pStyle w:val="Heading2"/>
      </w:pPr>
      <w:r>
        <w:t xml:space="preserve">Q3 2023 Sales Performance Highlights</w:t>
      </w:r>
    </w:p>
    <w:p>
      <w:pPr>
        <w:pStyle w:val="FirstParagraph"/>
      </w:pPr>
      <w:r>
        <w:rPr>
          <w:bCs/>
          <w:b/>
        </w:rPr>
        <w:t xml:space="preserve">Revenue Growth:</w:t>
      </w:r>
      <w:r>
        <w:t xml:space="preserve"> </w:t>
      </w:r>
      <w:r>
        <w:t xml:space="preserve">$587,000 in Q3 (NYC), representing 14% sequential growth. The $1.7M annual run rate exceeds projections by 29%, driven by three key service lines:</w:t>
      </w:r>
    </w:p>
    <w:p>
      <w:pPr>
        <w:numPr>
          <w:ilvl w:val="0"/>
          <w:numId w:val="1001"/>
        </w:numPr>
        <w:pStyle w:val="Compact"/>
      </w:pPr>
      <w:r>
        <w:rPr>
          <w:bCs/>
          <w:b/>
        </w:rPr>
        <w:t xml:space="preserve">Hybrid Teaching Certification:</w:t>
      </w:r>
      <w:r>
        <w:t xml:space="preserve"> </w:t>
      </w:r>
      <w:r>
        <w:t xml:space="preserve">$285,000 (48% of total) – Highest demand among University Lecturers managing post-pandemic course transitions</w:t>
      </w:r>
    </w:p>
    <w:p>
      <w:pPr>
        <w:numPr>
          <w:ilvl w:val="0"/>
          <w:numId w:val="1001"/>
        </w:numPr>
        <w:pStyle w:val="Compact"/>
      </w:pPr>
      <w:r>
        <w:rPr>
          <w:bCs/>
          <w:b/>
        </w:rPr>
        <w:t xml:space="preserve">Student Engagement Workshops:</w:t>
      </w:r>
      <w:r>
        <w:t xml:space="preserve"> </w:t>
      </w:r>
      <w:r>
        <w:t xml:space="preserve">$192,000 (33%) – Directly addressing NYC lecturer pain points around classroom management in large urban institutions</w:t>
      </w:r>
    </w:p>
    <w:p>
      <w:pPr>
        <w:pStyle w:val="FirstParagraph"/>
      </w:pPr>
      <w:r>
        <w:rPr>
          <w:bCs/>
          <w:b/>
        </w:rPr>
        <w:t xml:space="preserve">Customer Acquisition:</w:t>
      </w:r>
      <w:r>
        <w:t xml:space="preserve"> </w:t>
      </w:r>
      <w:r>
        <w:t xml:space="preserve">327 University Lecturers converted through targeted outreach at CUNY's Faculty Development Day (attendance: 2,100+ lecturers). Our sales team achieved a 68% conversion rate—significantly above the industry benchmark of 45% for academic services in the United States. Key differentiators included:</w:t>
      </w:r>
    </w:p>
    <w:p>
      <w:pPr>
        <w:numPr>
          <w:ilvl w:val="0"/>
          <w:numId w:val="1002"/>
        </w:numPr>
        <w:pStyle w:val="Compact"/>
      </w:pPr>
      <w:r>
        <w:t xml:space="preserve">On-site NYC workshop access at no additional cost</w:t>
      </w:r>
    </w:p>
    <w:p>
      <w:pPr>
        <w:numPr>
          <w:ilvl w:val="0"/>
          <w:numId w:val="1002"/>
        </w:numPr>
        <w:pStyle w:val="Compact"/>
      </w:pPr>
      <w:r>
        <w:t xml:space="preserve">Customizable modules mirroring NYC public university teaching requirements</w:t>
      </w:r>
    </w:p>
    <w:p>
      <w:pPr>
        <w:numPr>
          <w:ilvl w:val="0"/>
          <w:numId w:val="1002"/>
        </w:numPr>
        <w:pStyle w:val="Compact"/>
      </w:pPr>
      <w:r>
        <w:t xml:space="preserve">Dedicated account managers familiar with CUNY/Borough-Community College workflows</w:t>
      </w:r>
    </w:p>
    <w:bookmarkEnd w:id="22"/>
    <w:bookmarkStart w:id="23" w:name="X3c914ef757a374fc131630699bc73b4e4c4b38b"/>
    <w:p>
      <w:pPr>
        <w:pStyle w:val="Heading2"/>
      </w:pPr>
      <w:r>
        <w:t xml:space="preserve">Geographic Sales Breakdown: New York City Dominance</w:t>
      </w:r>
    </w:p>
    <w:p>
      <w:pPr>
        <w:pStyle w:val="FirstParagraph"/>
      </w:pPr>
      <w:r>
        <w:t xml:space="preserve">NYC accounts for 73% of our U.S. University Lecturer sales revenue, driven by two strategic factors:</w:t>
      </w:r>
    </w:p>
    <w:p>
      <w:pPr>
        <w:numPr>
          <w:ilvl w:val="0"/>
          <w:numId w:val="1003"/>
        </w:numPr>
        <w:pStyle w:val="Compact"/>
      </w:pPr>
      <w:r>
        <w:rPr>
          <w:bCs/>
          <w:b/>
        </w:rPr>
        <w:t xml:space="preserve">Concentrated Demand:</w:t>
      </w:r>
      <w:r>
        <w:t xml:space="preserve"> </w:t>
      </w:r>
      <w:r>
        <w:t xml:space="preserve">CUNY alone employs 4,800 University Lecturers—more than any other U.S. university system—creating a high-density sales opportunity.</w:t>
      </w:r>
    </w:p>
    <w:p>
      <w:pPr>
        <w:numPr>
          <w:ilvl w:val="0"/>
          <w:numId w:val="1003"/>
        </w:numPr>
        <w:pStyle w:val="Compact"/>
      </w:pPr>
      <w:r>
        <w:rPr>
          <w:bCs/>
          <w:b/>
        </w:rPr>
        <w:t xml:space="preserve">Regulatory Catalyst:</w:t>
      </w:r>
      <w:r>
        <w:t xml:space="preserve"> </w:t>
      </w:r>
      <w:r>
        <w:t xml:space="preserve">NYC Department of Education's 2023 mandate requiring all public university lecturers to complete pedagogical training within 18 months.</w:t>
      </w:r>
    </w:p>
    <w:p>
      <w:pPr>
        <w:pStyle w:val="FirstParagraph"/>
      </w:pPr>
      <w:r>
        <w:t xml:space="preserve">Breakdown of NYC revenue sources:</w:t>
      </w:r>
    </w:p>
    <w:p>
      <w:pPr>
        <w:numPr>
          <w:ilvl w:val="0"/>
          <w:numId w:val="1004"/>
        </w:numPr>
        <w:pStyle w:val="Compact"/>
      </w:pPr>
      <w:r>
        <w:t xml:space="preserve">CUNY System: 52% ($1.2M)</w:t>
      </w:r>
    </w:p>
    <w:p>
      <w:pPr>
        <w:numPr>
          <w:ilvl w:val="0"/>
          <w:numId w:val="1004"/>
        </w:numPr>
        <w:pStyle w:val="Compact"/>
      </w:pPr>
      <w:r>
        <w:t xml:space="preserve">Private Universities (NYU, Columbia): 34% ($780K)</w:t>
      </w:r>
    </w:p>
    <w:p>
      <w:pPr>
        <w:numPr>
          <w:ilvl w:val="0"/>
          <w:numId w:val="1004"/>
        </w:numPr>
        <w:pStyle w:val="Compact"/>
      </w:pPr>
      <w:r>
        <w:t xml:space="preserve">Community Colleges (e.g., Kingsborough, Bronx Community): 14% ($320K)</w:t>
      </w:r>
    </w:p>
    <w:bookmarkEnd w:id="23"/>
    <w:bookmarkStart w:id="24" w:name="key-sales-challenges-in-new-york-city"/>
    <w:p>
      <w:pPr>
        <w:pStyle w:val="Heading2"/>
      </w:pPr>
      <w:r>
        <w:t xml:space="preserve">Key Sales Challenges in New York City</w:t>
      </w:r>
    </w:p>
    <w:p>
      <w:pPr>
        <w:pStyle w:val="FirstParagraph"/>
      </w:pPr>
      <w:r>
        <w:t xml:space="preserve">Navigating NYC's academic bureaucracy presented significant hurdles. Our sales team identified three critical barriers:</w:t>
      </w:r>
    </w:p>
    <w:p>
      <w:pPr>
        <w:numPr>
          <w:ilvl w:val="0"/>
          <w:numId w:val="1005"/>
        </w:numPr>
        <w:pStyle w:val="Compact"/>
      </w:pPr>
      <w:r>
        <w:rPr>
          <w:bCs/>
          <w:b/>
        </w:rPr>
        <w:t xml:space="preserve">Budget Cycle Misalignment:</w:t>
      </w:r>
      <w:r>
        <w:t xml:space="preserve"> </w:t>
      </w:r>
      <w:r>
        <w:t xml:space="preserve">63% of University Lecturers operate under departmental budgets with fiscal years ending June 30—forcing us to compress sales cycles into Q2 for Q3 delivery.</w:t>
      </w:r>
    </w:p>
    <w:p>
      <w:pPr>
        <w:numPr>
          <w:ilvl w:val="0"/>
          <w:numId w:val="1005"/>
        </w:numPr>
        <w:pStyle w:val="Compact"/>
      </w:pPr>
      <w:r>
        <w:rPr>
          <w:bCs/>
          <w:b/>
        </w:rPr>
        <w:t xml:space="preserve">Decision-Maker Fragmentation:</w:t>
      </w:r>
      <w:r>
        <w:t xml:space="preserve"> </w:t>
      </w:r>
      <w:r>
        <w:t xml:space="preserve">In NYC public institutions, training purchases require approvals from faculty senates, deans, and HR departments—increasing sales cycles by 42% versus national averages.</w:t>
      </w:r>
    </w:p>
    <w:p>
      <w:pPr>
        <w:numPr>
          <w:ilvl w:val="0"/>
          <w:numId w:val="1005"/>
        </w:numPr>
        <w:pStyle w:val="Compact"/>
      </w:pPr>
      <w:r>
        <w:rPr>
          <w:bCs/>
          <w:b/>
        </w:rPr>
        <w:t xml:space="preserve">Competition Dilution:</w:t>
      </w:r>
      <w:r>
        <w:t xml:space="preserve"> </w:t>
      </w:r>
      <w:r>
        <w:t xml:space="preserve">Free resources from NYC Department of Education created price sensitivity; we countered with tiered premium packages (e.g., "NYC Lecturer Advantage" at $1,250/semester including post-training coaching).</w:t>
      </w:r>
    </w:p>
    <w:bookmarkEnd w:id="24"/>
    <w:bookmarkStart w:id="25" w:name="Xe2ac8f98032fa88bc41d549aec0f8bc2a21e10c"/>
    <w:p>
      <w:pPr>
        <w:pStyle w:val="Heading2"/>
      </w:pPr>
      <w:r>
        <w:t xml:space="preserve">Growth Opportunities for University Lecturer Services</w:t>
      </w:r>
    </w:p>
    <w:p>
      <w:pPr>
        <w:pStyle w:val="FirstParagraph"/>
      </w:pPr>
      <w:r>
        <w:t xml:space="preserve">The NYC market presents three high-impact opportunities:</w:t>
      </w:r>
    </w:p>
    <w:p>
      <w:pPr>
        <w:numPr>
          <w:ilvl w:val="0"/>
          <w:numId w:val="1006"/>
        </w:numPr>
        <w:pStyle w:val="Compact"/>
      </w:pPr>
      <w:r>
        <w:rPr>
          <w:bCs/>
          <w:b/>
        </w:rPr>
        <w:t xml:space="preserve">State-Mandated Training Expansion:</w:t>
      </w:r>
      <w:r>
        <w:t xml:space="preserve"> </w:t>
      </w:r>
      <w:r>
        <w:t xml:space="preserve">New York's 2024 budget allocates $18M for lecturer development—creating a potential $6.7M revenue pool if we secure the state contract.</w:t>
      </w:r>
    </w:p>
    <w:p>
      <w:pPr>
        <w:numPr>
          <w:ilvl w:val="0"/>
          <w:numId w:val="1006"/>
        </w:numPr>
        <w:pStyle w:val="Compact"/>
      </w:pPr>
      <w:r>
        <w:rPr>
          <w:bCs/>
          <w:b/>
        </w:rPr>
        <w:t xml:space="preserve">Partnership with NYC Mayor's Office of Workforce Development:</w:t>
      </w:r>
      <w:r>
        <w:t xml:space="preserve"> </w:t>
      </w:r>
      <w:r>
        <w:t xml:space="preserve">Pilot program to certify lecturers as "NYC Skills Trainers" for workforce initiatives (projected 30% market share capture).</w:t>
      </w:r>
    </w:p>
    <w:p>
      <w:pPr>
        <w:numPr>
          <w:ilvl w:val="0"/>
          <w:numId w:val="1006"/>
        </w:numPr>
        <w:pStyle w:val="Compact"/>
      </w:pPr>
      <w:r>
        <w:rPr>
          <w:bCs/>
          <w:b/>
        </w:rPr>
        <w:t xml:space="preserve">NYC-Specific Content Library:</w:t>
      </w:r>
      <w:r>
        <w:t xml:space="preserve"> </w:t>
      </w:r>
      <w:r>
        <w:t xml:space="preserve">Developing materials addressing unique urban classroom challenges (e.g., "Managing Disruptive Behavior in CUNY Classrooms")—a feature requested by 76% of surveyed lecturers.</w:t>
      </w:r>
    </w:p>
    <w:bookmarkEnd w:id="25"/>
    <w:bookmarkStart w:id="26" w:name="X8295fd57148a55f4f3a0d61f52d672e9f7140df"/>
    <w:p>
      <w:pPr>
        <w:pStyle w:val="Heading2"/>
      </w:pPr>
      <w:r>
        <w:t xml:space="preserve">Strategic Recommendations for United States Market Expansion</w:t>
      </w:r>
    </w:p>
    <w:p>
      <w:pPr>
        <w:pStyle w:val="FirstParagraph"/>
      </w:pPr>
      <w:r>
        <w:t xml:space="preserve">To replicate NYC's success nationwide, we recommend:</w:t>
      </w:r>
    </w:p>
    <w:p>
      <w:pPr>
        <w:numPr>
          <w:ilvl w:val="0"/>
          <w:numId w:val="1007"/>
        </w:numPr>
        <w:pStyle w:val="Compact"/>
      </w:pPr>
      <w:r>
        <w:rPr>
          <w:bCs/>
          <w:b/>
        </w:rPr>
        <w:t xml:space="preserve">Region-Specific Productization:</w:t>
      </w:r>
      <w:r>
        <w:t xml:space="preserve"> </w:t>
      </w:r>
      <w:r>
        <w:t xml:space="preserve">Create localized versions of our core services (e.g., "California Community College Lecturer Package" with AB 1725 compliance features)</w:t>
      </w:r>
    </w:p>
    <w:p>
      <w:pPr>
        <w:numPr>
          <w:ilvl w:val="0"/>
          <w:numId w:val="1007"/>
        </w:numPr>
        <w:pStyle w:val="Compact"/>
      </w:pPr>
      <w:r>
        <w:rPr>
          <w:bCs/>
          <w:b/>
        </w:rPr>
        <w:t xml:space="preserve">Lecturer Ambassador Program:</w:t>
      </w:r>
      <w:r>
        <w:t xml:space="preserve"> </w:t>
      </w:r>
      <w:r>
        <w:t xml:space="preserve">Recruit 50+ influential University Lecturers in key cities to co-design content and provide peer testimonials</w:t>
      </w:r>
    </w:p>
    <w:p>
      <w:pPr>
        <w:numPr>
          <w:ilvl w:val="0"/>
          <w:numId w:val="1007"/>
        </w:numPr>
        <w:pStyle w:val="Compact"/>
      </w:pPr>
      <w:r>
        <w:rPr>
          <w:bCs/>
          <w:b/>
        </w:rPr>
        <w:t xml:space="preserve">NYC as Sales Hub:</w:t>
      </w:r>
      <w:r>
        <w:t xml:space="preserve"> </w:t>
      </w:r>
      <w:r>
        <w:t xml:space="preserve">Establish a permanent NYC office to manage the $12M annual market—reducing sales cycle times by 31% through on-site presence</w:t>
      </w:r>
    </w:p>
    <w:bookmarkEnd w:id="26"/>
    <w:bookmarkStart w:id="27" w:name="X259f537d4ac02df937afa489b93f560f0c7f47a"/>
    <w:p>
      <w:pPr>
        <w:pStyle w:val="Heading2"/>
      </w:pPr>
      <w:r>
        <w:t xml:space="preserve">Conclusion: The University Lecturer Imperative in New York City</w:t>
      </w:r>
    </w:p>
    <w:p>
      <w:pPr>
        <w:pStyle w:val="FirstParagraph"/>
      </w:pPr>
      <w:r>
        <w:t xml:space="preserve">This Sales Report confirms that University Lecturers are the critical growth segment for educational services in the United States, with New York City serving as both bellwether and engine of this market. The 47% YoY revenue increase demonstrates that when sales strategies align with lecturers' urgent needs—particularly those unique to NYC's high-pressure academic environment—the opportunity is substantial. Our success here stems from treating University Lecturers not as customers, but as partners in solving their most immediate classroom challenges.</w:t>
      </w:r>
    </w:p>
    <w:p>
      <w:pPr>
        <w:pStyle w:val="BodyText"/>
      </w:pPr>
      <w:r>
        <w:t xml:space="preserve">As the United States education sector continues its transformation, institutions must recognize that lecturers drive day-to-day teaching outcomes. By embedding sales processes within NYC's academic workflow and delivering solutions that directly impact lecture hall effectiveness, we have positioned ourselves at the forefront of a $140M+ U.S. market for lecturer-focused professional development. The New York City experience proves that when sales strategies honor the unique role of University Lecturers in America's educational landscape, sustainable growth becomes inevitable.</w:t>
      </w:r>
    </w:p>
    <w:p>
      <w:pPr>
        <w:pStyle w:val="BodyText"/>
      </w:pPr>
      <w:r>
        <w:rPr>
          <w:bCs/>
          <w:b/>
        </w:rPr>
        <w:t xml:space="preserve">Prepared For:</w:t>
      </w:r>
      <w:r>
        <w:t xml:space="preserve"> </w:t>
      </w:r>
      <w:r>
        <w:t xml:space="preserve">Executive Leadership Team, Sales Strategy Committee</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Professional Development Services - New York City</dc:title>
  <dc:creator/>
  <dc:language>en</dc:language>
  <cp:keywords/>
  <dcterms:created xsi:type="dcterms:W3CDTF">2025-12-09T20:12:42Z</dcterms:created>
  <dcterms:modified xsi:type="dcterms:W3CDTF">2025-12-09T20:12:42Z</dcterms:modified>
</cp:coreProperties>
</file>

<file path=docProps/custom.xml><?xml version="1.0" encoding="utf-8"?>
<Properties xmlns="http://schemas.openxmlformats.org/officeDocument/2006/custom-properties" xmlns:vt="http://schemas.openxmlformats.org/officeDocument/2006/docPropsVTypes"/>
</file>