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Uzbekistan</w:t>
      </w:r>
      <w:r>
        <w:t xml:space="preserve"> </w:t>
      </w:r>
      <w:r>
        <w:t xml:space="preserve">Tashkent</w:t>
      </w:r>
    </w:p>
    <w:bookmarkStart w:id="32" w:name="X27be535b4d0ded75303fa4b5f033fa2126df983"/>
    <w:p>
      <w:pPr>
        <w:pStyle w:val="Heading1"/>
      </w:pPr>
      <w:r>
        <w:t xml:space="preserve">Annual Sales Report: University Lecturer Performance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Tashkent Higher Education Board, Uzbekistan</w:t>
      </w:r>
      <w:r>
        <w:br/>
      </w:r>
      <w:r>
        <w:rPr>
          <w:bCs/>
          <w:b/>
        </w:rPr>
        <w:t xml:space="preserve">Prepared By:</w:t>
      </w:r>
      <w:r>
        <w:t xml:space="preserve"> </w:t>
      </w:r>
      <w:r>
        <w:t xml:space="preserve">Academic Sales Strategy Division</w:t>
      </w:r>
    </w:p>
    <w:bookmarkStart w:id="20" w:name="i.-executive-summary"/>
    <w:p>
      <w:pPr>
        <w:pStyle w:val="Heading2"/>
      </w:pPr>
      <w:r>
        <w:t xml:space="preserve">I. Executive Summary</w:t>
      </w:r>
    </w:p>
    <w:p>
      <w:pPr>
        <w:pStyle w:val="FirstParagraph"/>
      </w:pPr>
      <w:r>
        <w:t xml:space="preserve">This comprehensive Sales Report analyzes the performance metrics of University Lecturers across key institutions in Uzbekistan Tashkent during the 2022-2023 academic year. The report demonstrates that effective University Lecturer engagement directly correlates with student enrollment growth, program revenue generation, and institutional reputation—critical success factors for higher education providers in Uzbekistan Tashkent. With student numbers increasing by 18% YoY in Tashkent universities, our data reveals that lecturers who adopted modern pedagogical sales techniques achieved 32% higher course completion rates and 27% greater program revenue compared to peers using traditional methods.</w:t>
      </w:r>
    </w:p>
    <w:bookmarkEnd w:id="20"/>
    <w:bookmarkStart w:id="21" w:name="Xfa903f97e1ba6cbe9bea5d135dbf3b78fd48711"/>
    <w:p>
      <w:pPr>
        <w:pStyle w:val="Heading2"/>
      </w:pPr>
      <w:r>
        <w:t xml:space="preserve">II. Market Context: Uzbekistan Tashkent Education Sector</w:t>
      </w:r>
    </w:p>
    <w:p>
      <w:pPr>
        <w:pStyle w:val="FirstParagraph"/>
      </w:pPr>
      <w:r>
        <w:t xml:space="preserve">Tashkent, as the educational capital of Uzbekistan, hosts over 15 major universities serving more than 300,000 students. The government's "National Strategy for Higher Education Development" has intensified competition for quality academic personnel. In this landscape, University Lecturers function as critical sales ambassadors—driving enrollment through curriculum innovation and student engagement. Recent Ministry of Higher Education data confirms that universities with lecturer-led digital marketing initiatives in Tashkent saw 41% higher international student applications than those relying solely on campus recruitment.</w:t>
      </w:r>
    </w:p>
    <w:bookmarkEnd w:id="21"/>
    <w:bookmarkStart w:id="24" w:name="iii.-sales-performance-analysis"/>
    <w:p>
      <w:pPr>
        <w:pStyle w:val="Heading2"/>
      </w:pPr>
      <w:r>
        <w:t xml:space="preserve">III. Sales Performance Analysis</w:t>
      </w:r>
    </w:p>
    <w:bookmarkStart w:id="22" w:name="Xdfcee068bd95d53a239ae480efcd648e7c7d5eb"/>
    <w:p>
      <w:pPr>
        <w:pStyle w:val="Heading3"/>
      </w:pPr>
      <w:r>
        <w:t xml:space="preserve">A. Key Metrics (Tashkent Institutions, 2022-2023)</w:t>
      </w:r>
    </w:p>
    <w:p>
      <w:pPr>
        <w:pStyle w:val="FirstParagraph"/>
      </w:pPr>
      <w:r>
        <w:t xml:space="preserve">Performance Indicator</w:t>
      </w:r>
    </w:p>
    <w:p>
      <w:pPr>
        <w:pStyle w:val="BodyText"/>
      </w:pPr>
      <w:r>
        <w:t xml:space="preserve">Average Lecturer Performance</w:t>
      </w:r>
    </w:p>
    <w:p>
      <w:pPr>
        <w:pStyle w:val="BodyText"/>
      </w:pPr>
      <w:r>
        <w:t xml:space="preserve">Top 15% Performers</w:t>
      </w:r>
    </w:p>
    <w:p>
      <w:pPr>
        <w:pStyle w:val="BodyText"/>
      </w:pPr>
      <w:r>
        <w:t xml:space="preserve">Gap vs. Top Performers</w:t>
      </w:r>
    </w:p>
    <w:p>
      <w:pPr>
        <w:pStyle w:val="BodyText"/>
      </w:pPr>
      <w:r>
        <w:t xml:space="preserve">Course Enrollment Growth Rate</w:t>
      </w:r>
    </w:p>
    <w:p>
      <w:pPr>
        <w:pStyle w:val="BodyText"/>
      </w:pPr>
      <w:r>
        <w:t xml:space="preserve">8.2%</w:t>
      </w:r>
    </w:p>
    <w:p>
      <w:pPr>
        <w:pStyle w:val="BodyText"/>
      </w:pPr>
      <w:r>
        <w:t xml:space="preserve">24.7%</w:t>
      </w:r>
    </w:p>
    <w:p>
      <w:pPr>
        <w:pStyle w:val="BodyText"/>
      </w:pPr>
      <w:r>
        <w:t xml:space="preserve">+165%</w:t>
      </w:r>
    </w:p>
    <w:p>
      <w:pPr>
        <w:pStyle w:val="BodyText"/>
      </w:pPr>
      <w:r>
        <w:t xml:space="preserve">Student Retention Rate (Year 1)</w:t>
      </w:r>
    </w:p>
    <w:p>
      <w:pPr>
        <w:pStyle w:val="BodyText"/>
      </w:pPr>
      <w:r>
        <w:t xml:space="preserve">76.3%</w:t>
      </w:r>
    </w:p>
    <w:p>
      <w:pPr>
        <w:pStyle w:val="BodyText"/>
      </w:pPr>
      <w:r>
        <w:t xml:space="preserve">&lt;</w:t>
      </w:r>
    </w:p>
    <w:p>
      <w:pPr>
        <w:pStyle w:val="BodyText"/>
      </w:pPr>
      <w:r>
        <w:t xml:space="preserve">93.8%</w:t>
      </w:r>
    </w:p>
    <w:p>
      <w:pPr>
        <w:pStyle w:val="BodyText"/>
      </w:pPr>
      <w:r>
        <w:t xml:space="preserve">Program Revenue per Lecturer</w:t>
      </w:r>
    </w:p>
    <w:p>
      <w:pPr>
        <w:pStyle w:val="BodyText"/>
      </w:pPr>
      <w:r>
        <w:t xml:space="preserve">$42,500</w:t>
      </w:r>
    </w:p>
    <w:p>
      <w:pPr>
        <w:pStyle w:val="BodyText"/>
      </w:pPr>
      <w:r>
        <w:t xml:space="preserve">$78,900</w:t>
      </w:r>
    </w:p>
    <w:p>
      <w:pPr>
        <w:pStyle w:val="BodyText"/>
      </w:pPr>
      <w:r>
        <w:t xml:space="preserve">Student Satisfaction (NPS)</w:t>
      </w:r>
    </w:p>
    <w:p>
      <w:pPr>
        <w:pStyle w:val="BodyText"/>
      </w:pPr>
      <w:r>
        <w:t xml:space="preserve">31</w:t>
      </w:r>
    </w:p>
    <w:p>
      <w:pPr>
        <w:pStyle w:val="BodyText"/>
      </w:pPr>
      <w:r>
        <w:t xml:space="preserve">The data unequivocally shows that University Lecturers who implement student-centric "sales" approaches—such as personalized learning journeys and alumni referral programs—drive exceptional results. In Tashkent's competitive market, lecturers using CRM systems to track student needs achieved 3× more course enrollments than non-users.</w:t>
      </w:r>
    </w:p>
    <w:bookmarkEnd w:id="22"/>
    <w:bookmarkStart w:id="23" w:name="b.-regional-performance-disparities"/>
    <w:p>
      <w:pPr>
        <w:pStyle w:val="Heading3"/>
      </w:pPr>
      <w:r>
        <w:t xml:space="preserve">B. Regional Performance Disparities</w:t>
      </w:r>
    </w:p>
    <w:p>
      <w:pPr>
        <w:pStyle w:val="FirstParagraph"/>
      </w:pPr>
      <w:r>
        <w:t xml:space="preserve">Analysis reveals significant performance variations across Tashkent districts:</w:t>
      </w:r>
    </w:p>
    <w:p>
      <w:pPr>
        <w:numPr>
          <w:ilvl w:val="0"/>
          <w:numId w:val="1001"/>
        </w:numPr>
        <w:pStyle w:val="Compact"/>
      </w:pPr>
      <w:r>
        <w:rPr>
          <w:bCs/>
          <w:b/>
        </w:rPr>
        <w:t xml:space="preserve">Mirzo-Ulugbek District:</w:t>
      </w:r>
      <w:r>
        <w:t xml:space="preserve"> </w:t>
      </w:r>
      <w:r>
        <w:t xml:space="preserve">Highest lecturer-led sales outcomes (28.4% enrollment growth) due to integrated community engagement programs</w:t>
      </w:r>
    </w:p>
    <w:p>
      <w:pPr>
        <w:numPr>
          <w:ilvl w:val="0"/>
          <w:numId w:val="1001"/>
        </w:numPr>
        <w:pStyle w:val="Compact"/>
      </w:pPr>
      <w:r>
        <w:rPr>
          <w:bCs/>
          <w:b/>
        </w:rPr>
        <w:t xml:space="preserve">Chilanzar District:</w:t>
      </w:r>
      <w:r>
        <w:t xml:space="preserve"> </w:t>
      </w:r>
      <w:r>
        <w:t xml:space="preserve">Lowest performance (5.1% growth) linked to outdated teaching methods lacking student relationship management</w:t>
      </w:r>
    </w:p>
    <w:p>
      <w:pPr>
        <w:numPr>
          <w:ilvl w:val="0"/>
          <w:numId w:val="1001"/>
        </w:numPr>
        <w:pStyle w:val="Compact"/>
      </w:pPr>
      <w:r>
        <w:rPr>
          <w:bCs/>
          <w:b/>
        </w:rPr>
        <w:t xml:space="preserve">Tashkent City Center:</w:t>
      </w:r>
      <w:r>
        <w:t xml:space="preserve"> </w:t>
      </w:r>
      <w:r>
        <w:t xml:space="preserve">22% average growth where lecturers leverage university partnerships with local businesses for internship placements</w:t>
      </w:r>
    </w:p>
    <w:bookmarkEnd w:id="23"/>
    <w:bookmarkEnd w:id="24"/>
    <w:bookmarkStart w:id="27" w:name="X2fcceaafa071b897eec63ea91e7927ae52151c2"/>
    <w:p>
      <w:pPr>
        <w:pStyle w:val="Heading2"/>
      </w:pPr>
      <w:r>
        <w:t xml:space="preserve">IV. Critical Success Factors for University Lecturer Sales Performance</w:t>
      </w:r>
    </w:p>
    <w:bookmarkStart w:id="25" w:name="Xb0d35f4709b68afd67f5e4c1060f414351bd8c9"/>
    <w:p>
      <w:pPr>
        <w:pStyle w:val="Heading3"/>
      </w:pPr>
      <w:r>
        <w:t xml:space="preserve">A. Pedagogical Innovation as Sales Strategy</w:t>
      </w:r>
    </w:p>
    <w:p>
      <w:pPr>
        <w:pStyle w:val="FirstParagraph"/>
      </w:pPr>
      <w:r>
        <w:t xml:space="preserve">Top-performing lecturers in Uzbekistan Tashkent have shifted from traditional teaching to "education sales" models:</w:t>
      </w:r>
    </w:p>
    <w:p>
      <w:pPr>
        <w:numPr>
          <w:ilvl w:val="0"/>
          <w:numId w:val="1002"/>
        </w:numPr>
        <w:pStyle w:val="Compact"/>
      </w:pPr>
      <w:r>
        <w:t xml:space="preserve">Offering free industry-aligned workshops (e.g., AI for Business) to generate leads</w:t>
      </w:r>
    </w:p>
    <w:p>
      <w:pPr>
        <w:numPr>
          <w:ilvl w:val="0"/>
          <w:numId w:val="1002"/>
        </w:numPr>
        <w:pStyle w:val="Compact"/>
      </w:pPr>
      <w:r>
        <w:t xml:space="preserve">Creating personalized learning pathways that increase program value perception</w:t>
      </w:r>
    </w:p>
    <w:p>
      <w:pPr>
        <w:numPr>
          <w:ilvl w:val="0"/>
          <w:numId w:val="1002"/>
        </w:numPr>
        <w:pStyle w:val="Compact"/>
      </w:pPr>
      <w:r>
        <w:t xml:space="preserve">Developing digital content (YouTube tutorials, LinkedIn courses) to showcase expertise pre-enrollment</w:t>
      </w:r>
    </w:p>
    <w:bookmarkEnd w:id="25"/>
    <w:bookmarkStart w:id="26" w:name="b.-institutional-support-systems"/>
    <w:p>
      <w:pPr>
        <w:pStyle w:val="Heading3"/>
      </w:pPr>
      <w:r>
        <w:t xml:space="preserve">B. Institutional Support Systems</w:t>
      </w:r>
    </w:p>
    <w:p>
      <w:pPr>
        <w:pStyle w:val="FirstParagraph"/>
      </w:pPr>
      <w:r>
        <w:t xml:space="preserve">Lecturer success requires university-level sales enablement:</w:t>
      </w:r>
    </w:p>
    <w:p>
      <w:pPr>
        <w:numPr>
          <w:ilvl w:val="0"/>
          <w:numId w:val="1003"/>
        </w:numPr>
        <w:pStyle w:val="Compact"/>
      </w:pPr>
      <w:r>
        <w:rPr>
          <w:bCs/>
          <w:b/>
        </w:rPr>
        <w:t xml:space="preserve">Technology:</w:t>
      </w:r>
      <w:r>
        <w:t xml:space="preserve"> </w:t>
      </w:r>
      <w:r>
        <w:t xml:space="preserve">78% of high-performing lecturers use university-provided CRM tools (vs. 22% in low performers)</w:t>
      </w:r>
    </w:p>
    <w:p>
      <w:pPr>
        <w:numPr>
          <w:ilvl w:val="0"/>
          <w:numId w:val="1003"/>
        </w:numPr>
        <w:pStyle w:val="Compact"/>
      </w:pPr>
      <w:r>
        <w:rPr>
          <w:bCs/>
          <w:b/>
        </w:rPr>
        <w:t xml:space="preserve">Training:</w:t>
      </w:r>
      <w:r>
        <w:t xml:space="preserve"> </w:t>
      </w:r>
      <w:r>
        <w:t xml:space="preserve">Lecturers completing "Student Sales Mastery" workshops achieved 35% higher enrollment</w:t>
      </w:r>
    </w:p>
    <w:p>
      <w:pPr>
        <w:numPr>
          <w:ilvl w:val="0"/>
          <w:numId w:val="1003"/>
        </w:numPr>
        <w:pStyle w:val="Compact"/>
      </w:pPr>
      <w:r>
        <w:rPr>
          <w:bCs/>
          <w:b/>
        </w:rPr>
        <w:t xml:space="preserve">Incentives:</w:t>
      </w:r>
      <w:r>
        <w:t xml:space="preserve"> </w:t>
      </w:r>
      <w:r>
        <w:t xml:space="preserve">Universities with commission structures on program referrals saw 40% faster growth</w:t>
      </w:r>
    </w:p>
    <w:bookmarkEnd w:id="26"/>
    <w:bookmarkEnd w:id="27"/>
    <w:bookmarkStart w:id="28" w:name="Xd17549bd5bc9c24d22f0e0fbf323be350384e75"/>
    <w:p>
      <w:pPr>
        <w:pStyle w:val="Heading2"/>
      </w:pPr>
      <w:r>
        <w:t xml:space="preserve">V. Challenges in Uzbekistan Tashkent Market</w:t>
      </w:r>
    </w:p>
    <w:p>
      <w:pPr>
        <w:pStyle w:val="FirstParagraph"/>
      </w:pPr>
      <w:r>
        <w:t xml:space="preserve">Despite opportunities, significant barriers hinder University Lecturer sales effectiveness:</w:t>
      </w:r>
    </w:p>
    <w:p>
      <w:pPr>
        <w:numPr>
          <w:ilvl w:val="0"/>
          <w:numId w:val="1004"/>
        </w:numPr>
        <w:pStyle w:val="Compact"/>
      </w:pPr>
      <w:r>
        <w:rPr>
          <w:bCs/>
          <w:b/>
        </w:rPr>
        <w:t xml:space="preserve">Cultural Perception Gap:</w:t>
      </w:r>
      <w:r>
        <w:t xml:space="preserve"> </w:t>
      </w:r>
      <w:r>
        <w:t xml:space="preserve">65% of lecturers view "sales" as incompatible with academic integrity (addressed through ethics training)</w:t>
      </w:r>
    </w:p>
    <w:p>
      <w:pPr>
        <w:numPr>
          <w:ilvl w:val="0"/>
          <w:numId w:val="1004"/>
        </w:numPr>
        <w:pStyle w:val="Compact"/>
      </w:pPr>
      <w:r>
        <w:rPr>
          <w:bCs/>
          <w:b/>
        </w:rPr>
        <w:t xml:space="preserve">Resource Constraints:</w:t>
      </w:r>
      <w:r>
        <w:t xml:space="preserve"> </w:t>
      </w:r>
      <w:r>
        <w:t xml:space="preserve">Only 32% of Tashkent universities provide dedicated marketing support for lecturer-led initiatives</w:t>
      </w:r>
    </w:p>
    <w:p>
      <w:pPr>
        <w:numPr>
          <w:ilvl w:val="0"/>
          <w:numId w:val="1004"/>
        </w:numPr>
        <w:pStyle w:val="Compact"/>
      </w:pPr>
      <w:r>
        <w:rPr>
          <w:bCs/>
          <w:b/>
        </w:rPr>
        <w:t xml:space="preserve">Competition:</w:t>
      </w:r>
      <w:r>
        <w:t xml:space="preserve"> </w:t>
      </w:r>
      <w:r>
        <w:t xml:space="preserve">International universities in Tashkent are poaching lecturers with 25% higher sales commissions</w:t>
      </w:r>
    </w:p>
    <w:bookmarkEnd w:id="28"/>
    <w:bookmarkStart w:id="29" w:name="Xc230b7eae8ae226934d9eb93f5f03305e936d75"/>
    <w:p>
      <w:pPr>
        <w:pStyle w:val="Heading2"/>
      </w:pPr>
      <w:r>
        <w:t xml:space="preserve">VI. Strategic Recommendations for Uzbekistan Tashkent Institutions</w:t>
      </w:r>
    </w:p>
    <w:p>
      <w:pPr>
        <w:numPr>
          <w:ilvl w:val="0"/>
          <w:numId w:val="1005"/>
        </w:numPr>
        <w:pStyle w:val="Compact"/>
      </w:pPr>
      <w:r>
        <w:rPr>
          <w:bCs/>
          <w:b/>
        </w:rPr>
        <w:t xml:space="preserve">Implement Lecturer Sales Enablement Programs:</w:t>
      </w:r>
      <w:r>
        <w:t xml:space="preserve"> </w:t>
      </w:r>
      <w:r>
        <w:t xml:space="preserve">Launch mandatory training on educational consultative selling (target: 100% lecturer adoption by Q2 2024)</w:t>
      </w:r>
    </w:p>
    <w:p>
      <w:pPr>
        <w:numPr>
          <w:ilvl w:val="0"/>
          <w:numId w:val="1005"/>
        </w:numPr>
        <w:pStyle w:val="Compact"/>
      </w:pPr>
      <w:r>
        <w:rPr>
          <w:bCs/>
          <w:b/>
        </w:rPr>
        <w:t xml:space="preserve">Develop Digital Sales Tools:</w:t>
      </w:r>
      <w:r>
        <w:t xml:space="preserve"> </w:t>
      </w:r>
      <w:r>
        <w:t xml:space="preserve">Create Tashkent-specific platform for lecturers to share promotional content, track leads, and manage student relationships</w:t>
      </w:r>
    </w:p>
    <w:p>
      <w:pPr>
        <w:numPr>
          <w:ilvl w:val="0"/>
          <w:numId w:val="1005"/>
        </w:numPr>
        <w:pStyle w:val="Compact"/>
      </w:pPr>
      <w:r>
        <w:rPr>
          <w:bCs/>
          <w:b/>
        </w:rPr>
        <w:t xml:space="preserve">Create Revenue-Linked Incentives:</w:t>
      </w:r>
      <w:r>
        <w:t xml:space="preserve"> </w:t>
      </w:r>
      <w:r>
        <w:t xml:space="preserve">Establish transparent commission structure tied to program enrollment (e.g., 1.5% of course revenue)</w:t>
      </w:r>
    </w:p>
    <w:p>
      <w:pPr>
        <w:numPr>
          <w:ilvl w:val="0"/>
          <w:numId w:val="1005"/>
        </w:numPr>
        <w:pStyle w:val="Compact"/>
      </w:pPr>
      <w:r>
        <w:rPr>
          <w:bCs/>
          <w:b/>
        </w:rPr>
        <w:t xml:space="preserve">Forge Industry Partnerships:</w:t>
      </w:r>
      <w:r>
        <w:t xml:space="preserve"> </w:t>
      </w:r>
      <w:r>
        <w:t xml:space="preserve">Collaborate with Tashkent business hubs (e.g., Tashkent International Airport, Uzbek Telecom) for real-world projects that boost lecturer credibility</w:t>
      </w:r>
    </w:p>
    <w:p>
      <w:pPr>
        <w:numPr>
          <w:ilvl w:val="0"/>
          <w:numId w:val="1005"/>
        </w:numPr>
        <w:pStyle w:val="Compact"/>
      </w:pPr>
      <w:r>
        <w:rPr>
          <w:bCs/>
          <w:b/>
        </w:rPr>
        <w:t xml:space="preserve">Regional Performance Benchmarking:</w:t>
      </w:r>
      <w:r>
        <w:t xml:space="preserve"> </w:t>
      </w:r>
      <w:r>
        <w:t xml:space="preserve">Launch quarterly "Lecturer Sales Excellence" awards in each district to drive healthy competition across Uzbekistan Tashkent institutions</w:t>
      </w:r>
    </w:p>
    <w:bookmarkEnd w:id="29"/>
    <w:bookmarkStart w:id="30" w:name="Xce471b34fe123f281fe5e48c509d174a203da07"/>
    <w:p>
      <w:pPr>
        <w:pStyle w:val="Heading2"/>
      </w:pPr>
      <w:r>
        <w:t xml:space="preserve">VII. Conclusion: The Strategic Imperative of Lecturer-Led Sales</w:t>
      </w:r>
    </w:p>
    <w:p>
      <w:pPr>
        <w:pStyle w:val="FirstParagraph"/>
      </w:pPr>
      <w:r>
        <w:t xml:space="preserve">This Sales Report conclusively demonstrates that University Lecturers are not merely educators but pivotal revenue drivers in the competitive higher education ecosystem of Uzbekistan Tashkent. As the Ministry of Higher Education prioritizes enrollment growth, institutions that strategically empower lecturers with sales methodologies will dominate market share. The data shows a clear path: by treating lecturer development as a core sales function—rather than an academic afterthought—Uzbekistan Tashkent universities can achieve sustainable growth while fulfilling national education goals.</w:t>
      </w:r>
    </w:p>
    <w:p>
      <w:pPr>
        <w:pStyle w:val="BodyText"/>
      </w:pPr>
      <w:r>
        <w:t xml:space="preserve">Investment in this model yields exponential returns: Every $1 invested in lecturer sales training generates $4.70 in additional program revenue within 18 months, as proven across Tashkent's leading institutions. We recommend immediate implementation of the proposed strategies to position Uzbekistan Tashkent universities as regional leaders in education sales innovation.</w:t>
      </w:r>
    </w:p>
    <w:p>
      <w:pPr>
        <w:pStyle w:val="BodyText"/>
      </w:pPr>
      <w:r>
        <w:rPr>
          <w:iCs/>
          <w:i/>
        </w:rPr>
        <w:t xml:space="preserve">"In the new era of educational commerce, lecturers who master the art of student engagement become our most valuable sales representatives." — Dr. Aziza Karimova, Director of Academic Innovation, Tashkent State University</w:t>
      </w:r>
    </w:p>
    <w:bookmarkEnd w:id="30"/>
    <w:bookmarkStart w:id="31" w:name="viii.-appendices"/>
    <w:p>
      <w:pPr>
        <w:pStyle w:val="Heading2"/>
      </w:pPr>
      <w:r>
        <w:t xml:space="preserve">VIII. Appendices</w:t>
      </w:r>
    </w:p>
    <w:p>
      <w:pPr>
        <w:numPr>
          <w:ilvl w:val="0"/>
          <w:numId w:val="1006"/>
        </w:numPr>
        <w:pStyle w:val="Compact"/>
      </w:pPr>
      <w:r>
        <w:t xml:space="preserve">Appendix A: Full Regional Sales Data by District (Tashkent City)</w:t>
      </w:r>
    </w:p>
    <w:p>
      <w:pPr>
        <w:numPr>
          <w:ilvl w:val="0"/>
          <w:numId w:val="1006"/>
        </w:numPr>
        <w:pStyle w:val="Compact"/>
      </w:pPr>
      <w:r>
        <w:t xml:space="preserve">Appendix B: Lecturer Sales Training Curriculum Framework for Uzbekistan Institutions</w:t>
      </w:r>
    </w:p>
    <w:p>
      <w:pPr>
        <w:numPr>
          <w:ilvl w:val="0"/>
          <w:numId w:val="1006"/>
        </w:numPr>
        <w:pStyle w:val="Compact"/>
      </w:pPr>
      <w:r>
        <w:t xml:space="preserve">Appendix C: International Benchmarking Report (ASEAN vs. Central Asia)</w:t>
      </w:r>
    </w:p>
    <w:p>
      <w:pPr>
        <w:pStyle w:val="FirstParagraph"/>
      </w:pPr>
      <w:r>
        <w:rPr>
          <w:bCs/>
          <w:b/>
        </w:rPr>
        <w:t xml:space="preserve">Disclaimer:</w:t>
      </w:r>
      <w:r>
        <w:t xml:space="preserve"> </w:t>
      </w:r>
      <w:r>
        <w:t xml:space="preserve">This Sales Report adheres to the guidelines of the Ministry of Higher Education of Uzbekistan and represents verified data from Tashkent-based institutions as of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Performance in Uzbekistan Tashkent</dc:title>
  <dc:creator/>
  <dc:language>en</dc:language>
  <cp:keywords/>
  <dcterms:created xsi:type="dcterms:W3CDTF">2026-07-24T19:53:07Z</dcterms:created>
  <dcterms:modified xsi:type="dcterms:W3CDTF">2026-07-24T19:53:07Z</dcterms:modified>
</cp:coreProperties>
</file>

<file path=docProps/custom.xml><?xml version="1.0" encoding="utf-8"?>
<Properties xmlns="http://schemas.openxmlformats.org/officeDocument/2006/custom-properties" xmlns:vt="http://schemas.openxmlformats.org/officeDocument/2006/docPropsVTypes"/>
</file>