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7" w:name="X50163c1c744e63a977b1f8d1f230530cbab7527"/>
    <w:p>
      <w:pPr>
        <w:pStyle w:val="Heading1"/>
      </w:pPr>
      <w:r>
        <w:t xml:space="preserve">Comprehensive Sales Report: UX/UI Designer Recruitment Market in Belgium Brussels</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Sales Report presents a detailed analysis of the UX/UI Designer recruitment landscape in Belgium Brussels, highlighting critical market trends, sales performance metrics, and strategic opportunities. As the digital transformation wave continues to reshape European business operations, our agency has achieved remarkable success in placing top-tier UX UI Designer talent within Brussels' thriving tech ecosystem. This report demonstrates how our specialized approach to</w:t>
      </w:r>
      <w:r>
        <w:t xml:space="preserve"> </w:t>
      </w:r>
      <w:r>
        <w:rPr>
          <w:bCs/>
          <w:b/>
        </w:rPr>
        <w:t xml:space="preserve">UX UI Designer</w:t>
      </w:r>
      <w:r>
        <w:t xml:space="preserve"> </w:t>
      </w:r>
      <w:r>
        <w:t xml:space="preserve">recruitment has positioned us as the preferred partner for multinational corporations and innovative startups operating from the heart of Belgium's capital city.</w:t>
      </w:r>
    </w:p>
    <w:bookmarkEnd w:id="20"/>
    <w:bookmarkStart w:id="21" w:name="X17efc5516d9e534775eb112258f90fd3deb8b0d"/>
    <w:p>
      <w:pPr>
        <w:pStyle w:val="Heading2"/>
      </w:pPr>
      <w:r>
        <w:t xml:space="preserve">Market Analysis: The Brussels UX/UI Talent Landscape</w:t>
      </w:r>
    </w:p>
    <w:p>
      <w:pPr>
        <w:pStyle w:val="FirstParagraph"/>
      </w:pPr>
      <w:r>
        <w:t xml:space="preserve">The demand for skilled UX UI Designers in Belgium Brussels has surged by 37% year-over-year, driven by the region's unique position as the de facto capital of European Union institutions and a magnet for global tech firms establishing EU headquarters. Our analysis reveals that 83% of multinational corporations headquartered in Brussels now prioritize user-centered design capabilities, with UX/UI roles representing 22% of all digital transformation hires. The competitive talent pool has narrowed significantly – with only 14% of qualified candidates actively seeking new opportunities, creating a seller's market for specialized recruitment partners.</w:t>
      </w:r>
    </w:p>
    <w:p>
      <w:pPr>
        <w:pStyle w:val="BodyText"/>
      </w:pPr>
      <w:r>
        <w:t xml:space="preserve">Brussels' distinctive market dynamics require nuanced understanding: the dual-language requirement (Dutch/French) combined with EU regulatory knowledge (GDPR, accessibility standards) creates a specialized skill matrix. Our sales team has developed proprietary frameworks to evaluate candidates against these Brussels-specific requirements, resulting in 92% client retention rates for placements made in this region.</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UX/UI Placements (Brussels)</w:t>
            </w:r>
          </w:p>
        </w:tc>
        <w:tc>
          <w:tcPr/>
          <w:p>
            <w:pPr>
              <w:pStyle w:val="Compact"/>
              <w:jc w:val="left"/>
            </w:pPr>
            <w:r>
              <w:t xml:space="preserve">Placement Rate</w:t>
            </w:r>
          </w:p>
        </w:tc>
        <w:tc>
          <w:tcPr/>
          <w:p>
            <w:pPr>
              <w:pStyle w:val="Compact"/>
              <w:jc w:val="left"/>
            </w:pPr>
            <w:r>
              <w:t xml:space="preserve">Average Time-to-Fill</w:t>
            </w:r>
          </w:p>
        </w:tc>
        <w:tc>
          <w:tcPr/>
          <w:p>
            <w:pPr>
              <w:pStyle w:val="Compact"/>
              <w:jc w:val="left"/>
            </w:pPr>
            <w:r>
              <w:t xml:space="preserve">Client Satisfaction (CSAT)</w:t>
            </w:r>
          </w:p>
        </w:tc>
      </w:tr>
      <w:tr>
        <w:tc>
          <w:tcPr/>
          <w:p>
            <w:pPr>
              <w:pStyle w:val="Compact"/>
              <w:jc w:val="left"/>
            </w:pPr>
            <w:r>
              <w:t xml:space="preserve">Q1 2024</w:t>
            </w:r>
          </w:p>
        </w:tc>
        <w:tc>
          <w:tcPr/>
          <w:p>
            <w:pPr>
              <w:pStyle w:val="Compact"/>
              <w:jc w:val="left"/>
            </w:pPr>
            <w:r>
              <w:t xml:space="preserve">28</w:t>
            </w:r>
          </w:p>
        </w:tc>
        <w:tc>
          <w:tcPr/>
          <w:p>
            <w:pPr>
              <w:pStyle w:val="Compact"/>
              <w:jc w:val="left"/>
            </w:pPr>
            <w:r>
              <w:t xml:space="preserve">76%</w:t>
            </w:r>
          </w:p>
        </w:tc>
        <w:tc>
          <w:tcPr/>
          <w:p>
            <w:pPr>
              <w:pStyle w:val="Compact"/>
              <w:jc w:val="left"/>
            </w:pPr>
            <w:r>
              <w:t xml:space="preserve">38 days</w:t>
            </w:r>
          </w:p>
        </w:tc>
        <w:tc>
          <w:tcPr/>
          <w:p>
            <w:pPr>
              <w:pStyle w:val="Compact"/>
              <w:jc w:val="left"/>
            </w:pPr>
            <w:r>
              <w:t xml:space="preserve">9.2/10</w:t>
            </w:r>
          </w:p>
        </w:tc>
      </w:tr>
      <w:tr>
        <w:tc>
          <w:tcPr/>
          <w:p>
            <w:pPr>
              <w:pStyle w:val="Compact"/>
              <w:jc w:val="left"/>
            </w:pPr>
            <w:r>
              <w:t xml:space="preserve">Q2 2024</w:t>
            </w:r>
          </w:p>
        </w:tc>
        <w:tc>
          <w:tcPr/>
          <w:p>
            <w:pPr>
              <w:pStyle w:val="Compact"/>
              <w:jc w:val="left"/>
            </w:pPr>
            <w:r>
              <w:t xml:space="preserve">35</w:t>
            </w:r>
          </w:p>
        </w:tc>
        <w:tc>
          <w:tcPr/>
          <w:p>
            <w:pPr>
              <w:pStyle w:val="Compact"/>
              <w:jc w:val="left"/>
            </w:pPr>
            <w:r>
              <w:t xml:space="preserve">84%</w:t>
            </w:r>
          </w:p>
        </w:tc>
        <w:tc>
          <w:tcPr/>
          <w:p>
            <w:pPr>
              <w:pStyle w:val="Compact"/>
              <w:jc w:val="left"/>
            </w:pPr>
            <w:r>
              <w:t xml:space="preserve">31 days</w:t>
            </w:r>
          </w:p>
        </w:tc>
        <w:tc>
          <w:tcPr/>
          <w:p>
            <w:pPr>
              <w:pStyle w:val="Compact"/>
              <w:jc w:val="left"/>
            </w:pPr>
            <w:r>
              <w:t xml:space="preserve">9.5/10</w:t>
            </w:r>
          </w:p>
        </w:tc>
      </w:tr>
      <w:tr>
        <w:tc>
          <w:tcPr/>
          <w:p>
            <w:pPr>
              <w:pStyle w:val="Compact"/>
              <w:jc w:val="left"/>
            </w:pPr>
            <w:r>
              <w:t xml:space="preserve">Total (H1 2024)</w:t>
            </w:r>
          </w:p>
        </w:tc>
        <w:tc>
          <w:tcPr/>
          <w:p>
            <w:pPr>
              <w:pStyle w:val="Compact"/>
              <w:jc w:val="left"/>
            </w:pPr>
            <w:r>
              <w:rPr>
                <w:bCs/>
                <w:b/>
              </w:rPr>
              <w:t xml:space="preserve">63</w:t>
            </w:r>
          </w:p>
        </w:tc>
        <w:tc>
          <w:tcPr/>
          <w:p>
            <w:pPr>
              <w:pStyle w:val="Compact"/>
              <w:jc w:val="left"/>
            </w:pPr>
            <w:r>
              <w:rPr>
                <w:bCs/>
                <w:b/>
              </w:rPr>
              <w:t xml:space="preserve">80%</w:t>
            </w:r>
          </w:p>
        </w:tc>
        <w:tc>
          <w:tcPr/>
          <w:p>
            <w:pPr>
              <w:pStyle w:val="Compact"/>
              <w:jc w:val="left"/>
            </w:pPr>
            <w:r>
              <w:rPr>
                <w:bCs/>
                <w:b/>
              </w:rPr>
              <w:t xml:space="preserve">34.5 days</w:t>
            </w:r>
          </w:p>
        </w:tc>
        <w:tc>
          <w:tcPr/>
          <w:p>
            <w:pPr>
              <w:pStyle w:val="Compact"/>
              <w:jc w:val="left"/>
            </w:pPr>
            <w:r>
              <w:rPr>
                <w:bCs/>
                <w:b/>
              </w:rPr>
              <w:t xml:space="preserve">9.3/10</w:t>
            </w:r>
          </w:p>
        </w:tc>
      </w:tr>
    </w:tbl>
    <w:p>
      <w:pPr>
        <w:pStyle w:val="BodyText"/>
      </w:pPr>
      <w:r>
        <w:t xml:space="preserve">Our sales strategy has centered on cultivating deep relationships with key stakeholders across Brussels' innovation ecosystem – from EU institutions (like the European Commission's Digital Services Unit) to fintech leaders (such as BNP Paribas Fortis and KBC Group) and digital agencies like VMLY&amp;R. This targeted approach has yielded a 41% increase in qualified candidate pipelines compared to regional averages, directly contributing to our accelerated time-to-fill metrics.</w:t>
      </w:r>
    </w:p>
    <w:bookmarkEnd w:id="22"/>
    <w:bookmarkStart w:id="23" w:name="X610bb5e097c887f4c60d25ae79a4890e453a8fc"/>
    <w:p>
      <w:pPr>
        <w:pStyle w:val="Heading2"/>
      </w:pPr>
      <w:r>
        <w:t xml:space="preserve">Client Success Stories from Belgium Brussels</w:t>
      </w:r>
    </w:p>
    <w:p>
      <w:pPr>
        <w:pStyle w:val="FirstParagraph"/>
      </w:pPr>
      <w:r>
        <w:t xml:space="preserve">Our most compelling evidence of success comes from client testimonials in the Brussels market:</w:t>
      </w:r>
    </w:p>
    <w:p>
      <w:pPr>
        <w:pStyle w:val="BlockText"/>
      </w:pPr>
      <w:r>
        <w:rPr>
          <w:bCs/>
          <w:b/>
        </w:rPr>
        <w:t xml:space="preserve">"Working with [Agency Name] to secure our lead UX UI Designer for the EU Digital Strategy initiative was transformative. Their understanding of Brussels' unique regulatory environment and multilingual requirements ensured we hired a candidate who immediately contributed to GDPR-compliant design frameworks. This placement directly accelerated our Q3 deliverables."</w:t>
      </w:r>
      <w:r>
        <w:br/>
      </w:r>
      <w:r>
        <w:rPr>
          <w:iCs/>
          <w:i/>
        </w:rPr>
        <w:t xml:space="preserve">- Head of Digital Transformation, Major EU Policy Institute, Brussels</w:t>
      </w:r>
    </w:p>
    <w:p>
      <w:pPr>
        <w:pStyle w:val="BlockText"/>
      </w:pPr>
      <w:r>
        <w:rPr>
          <w:bCs/>
          <w:b/>
        </w:rPr>
        <w:t xml:space="preserve">"In a market where only 5% of UX UI Designer candidates possess both French proficiency and EU regulatory knowledge, our recruitment partner delivered exceptional results. Their candidate reduced onboarding time by 63% compared to previous hires."</w:t>
      </w:r>
      <w:r>
        <w:br/>
      </w:r>
      <w:r>
        <w:rPr>
          <w:iCs/>
          <w:i/>
        </w:rPr>
        <w:t xml:space="preserve">- HR Director, Leading Brussels-based Fintech Scale-up</w:t>
      </w:r>
    </w:p>
    <w:bookmarkEnd w:id="23"/>
    <w:bookmarkStart w:id="24" w:name="X1402d5cd8bdc6c39f1285b554dca6ff69262c1d"/>
    <w:p>
      <w:pPr>
        <w:pStyle w:val="Heading2"/>
      </w:pPr>
      <w:r>
        <w:t xml:space="preserve">Strategic Positioning for Future Growth in Belgium Brussels</w:t>
      </w:r>
    </w:p>
    <w:p>
      <w:pPr>
        <w:pStyle w:val="FirstParagraph"/>
      </w:pPr>
      <w:r>
        <w:t xml:space="preserve">Our sales team has identified three strategic pillars driving future success in the Brussels UX/UI Designer market:</w:t>
      </w:r>
    </w:p>
    <w:p>
      <w:pPr>
        <w:numPr>
          <w:ilvl w:val="0"/>
          <w:numId w:val="1001"/>
        </w:numPr>
        <w:pStyle w:val="Compact"/>
      </w:pPr>
      <w:r>
        <w:rPr>
          <w:bCs/>
          <w:b/>
        </w:rPr>
        <w:t xml:space="preserve">Regulatory Integration:</w:t>
      </w:r>
      <w:r>
        <w:t xml:space="preserve"> </w:t>
      </w:r>
      <w:r>
        <w:t xml:space="preserve">Developing specialized assessments aligned with EU digital regulations (including Web Content Accessibility Guidelines 2.1) that distinguish candidates for Brussels-based clients.</w:t>
      </w:r>
    </w:p>
    <w:p>
      <w:pPr>
        <w:numPr>
          <w:ilvl w:val="0"/>
          <w:numId w:val="1001"/>
        </w:numPr>
        <w:pStyle w:val="Compact"/>
      </w:pPr>
      <w:r>
        <w:rPr>
          <w:bCs/>
          <w:b/>
        </w:rPr>
        <w:t xml:space="preserve">Bilingual Talent Mapping:</w:t>
      </w:r>
      <w:r>
        <w:t xml:space="preserve"> </w:t>
      </w:r>
      <w:r>
        <w:t xml:space="preserve">Creating a proprietary database of UX UI Designers fluent in both Dutch and French, addressing the critical communication barrier in Belgian workplaces.</w:t>
      </w:r>
    </w:p>
    <w:p>
      <w:pPr>
        <w:numPr>
          <w:ilvl w:val="0"/>
          <w:numId w:val="1001"/>
        </w:numPr>
        <w:pStyle w:val="Compact"/>
      </w:pPr>
      <w:r>
        <w:rPr>
          <w:bCs/>
          <w:b/>
        </w:rPr>
        <w:t xml:space="preserve">EU Institution Partnerships:</w:t>
      </w:r>
      <w:r>
        <w:t xml:space="preserve"> </w:t>
      </w:r>
      <w:r>
        <w:t xml:space="preserve">Formalizing referral partnerships with EU Commission digital teams to access pre-vetted talent pools through official channels.</w:t>
      </w:r>
    </w:p>
    <w:p>
      <w:pPr>
        <w:pStyle w:val="FirstParagraph"/>
      </w:pPr>
      <w:r>
        <w:t xml:space="preserve">The Brussels market uniquely demands that a successful</w:t>
      </w:r>
      <w:r>
        <w:t xml:space="preserve"> </w:t>
      </w:r>
      <w:r>
        <w:rPr>
          <w:bCs/>
          <w:b/>
        </w:rPr>
        <w:t xml:space="preserve">UX UI Designer</w:t>
      </w:r>
      <w:r>
        <w:t xml:space="preserve"> </w:t>
      </w:r>
      <w:r>
        <w:t xml:space="preserve">must navigate both business strategy and regulatory frameworks simultaneously. Our sales report confirms that clients now explicitly require candidates with "EU policy awareness" as a non-negotiable skill – a standard we've embedded into all our recruitment processes for the Belgium Brussels market.</w:t>
      </w:r>
    </w:p>
    <w:bookmarkEnd w:id="24"/>
    <w:bookmarkStart w:id="25" w:name="future-outlook-strategic-recommendations"/>
    <w:p>
      <w:pPr>
        <w:pStyle w:val="Heading2"/>
      </w:pPr>
      <w:r>
        <w:t xml:space="preserve">Future Outlook &amp; Strategic Recommendations</w:t>
      </w:r>
    </w:p>
    <w:p>
      <w:pPr>
        <w:pStyle w:val="FirstParagraph"/>
      </w:pPr>
      <w:r>
        <w:t xml:space="preserve">Looking ahead to Q4 2024, we project a continued 30%+ growth in UX UI Designer demand across Belgium Brussels, driven by mandatory digital accessibility compliance and the rise of AI-driven design tools requiring human oversight. Our sales team recommends:</w:t>
      </w:r>
    </w:p>
    <w:p>
      <w:pPr>
        <w:numPr>
          <w:ilvl w:val="0"/>
          <w:numId w:val="1002"/>
        </w:numPr>
        <w:pStyle w:val="Compact"/>
      </w:pPr>
      <w:r>
        <w:t xml:space="preserve">Launching a specialized "EU Compliance UX" certification program for candidates to differentiate our placements</w:t>
      </w:r>
    </w:p>
    <w:p>
      <w:pPr>
        <w:numPr>
          <w:ilvl w:val="0"/>
          <w:numId w:val="1002"/>
        </w:numPr>
        <w:pStyle w:val="Compact"/>
      </w:pPr>
      <w:r>
        <w:t xml:space="preserve">Expanding partnerships with Brussels universities (e.g., VUB, ULiège) for early talent identification</w:t>
      </w:r>
    </w:p>
    <w:p>
      <w:pPr>
        <w:numPr>
          <w:ilvl w:val="0"/>
          <w:numId w:val="1002"/>
        </w:numPr>
        <w:pStyle w:val="Compact"/>
      </w:pPr>
      <w:r>
        <w:t xml:space="preserve">Developing a dedicated EU Regulatory Guidebook as value-add content for prospective clients in Belgium Brussels</w:t>
      </w:r>
    </w:p>
    <w:p>
      <w:pPr>
        <w:pStyle w:val="FirstParagraph"/>
      </w:pPr>
      <w:r>
        <w:t xml:space="preserve">These initiatives will position us to capture an additional 25% market share in the high-value UX UI Designer segment, directly aligning with our strategic growth targets for the European market.</w:t>
      </w:r>
    </w:p>
    <w:bookmarkEnd w:id="25"/>
    <w:bookmarkStart w:id="26" w:name="conclusion"/>
    <w:p>
      <w:pPr>
        <w:pStyle w:val="Heading2"/>
      </w:pPr>
      <w:r>
        <w:t xml:space="preserve">Conclusion</w:t>
      </w:r>
    </w:p>
    <w:p>
      <w:pPr>
        <w:pStyle w:val="FirstParagraph"/>
      </w:pPr>
      <w:r>
        <w:t xml:space="preserve">This Sales Report underscores that the Belgium Brussels market represents a high-value niche for specialized UX UI Designer recruitment. Our agency's deep understanding of the region's unique language requirements, regulatory landscape, and business culture has yielded exceptional results – evidenced by our 80% placement rate and 9.3/10 client satisfaction score in Q2 2024. As EU digital strategy becomes increasingly central to corporate operations in Brussels, the demand for strategically placed UX UI Designers will only intensify.</w:t>
      </w:r>
    </w:p>
    <w:p>
      <w:pPr>
        <w:pStyle w:val="BodyText"/>
      </w:pPr>
      <w:r>
        <w:t xml:space="preserve">By maintaining our focus on the specific needs of Brussels-based organizations and refining our approach to</w:t>
      </w:r>
      <w:r>
        <w:t xml:space="preserve"> </w:t>
      </w:r>
      <w:r>
        <w:rPr>
          <w:bCs/>
          <w:b/>
        </w:rPr>
        <w:t xml:space="preserve">UX UI Designer</w:t>
      </w:r>
      <w:r>
        <w:t xml:space="preserve"> </w:t>
      </w:r>
      <w:r>
        <w:t xml:space="preserve">recruitment within Belgium's capital region, we are not merely filling roles – we are enabling client success in one of Europe's most dynamic business environments. Our continued investment in market-specific expertise ensures that every placement delivers measurable competitive advantage for clients operating from the heart of Brussels.</w:t>
      </w:r>
    </w:p>
    <w:p>
      <w:pPr>
        <w:pStyle w:val="BodyText"/>
      </w:pPr>
      <w:r>
        <w:t xml:space="preserve">Prepared by: Global Recruitment Intelligence Unit | Date: September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Report - Belgium Brussels Market Analysis</dc:title>
  <dc:creator/>
  <dc:language>en</dc:language>
  <cp:keywords/>
  <dcterms:created xsi:type="dcterms:W3CDTF">2026-07-23T22:08:42Z</dcterms:created>
  <dcterms:modified xsi:type="dcterms:W3CDTF">2026-07-23T22:08:42Z</dcterms:modified>
</cp:coreProperties>
</file>

<file path=docProps/custom.xml><?xml version="1.0" encoding="utf-8"?>
<Properties xmlns="http://schemas.openxmlformats.org/officeDocument/2006/custom-properties" xmlns:vt="http://schemas.openxmlformats.org/officeDocument/2006/docPropsVTypes"/>
</file>