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UX/UI</w:t>
      </w:r>
      <w:r>
        <w:t xml:space="preserve"> </w:t>
      </w:r>
      <w:r>
        <w:t xml:space="preserve">Designer</w:t>
      </w:r>
      <w:r>
        <w:t xml:space="preserve"> </w:t>
      </w:r>
      <w:r>
        <w:t xml:space="preserve">Market</w:t>
      </w:r>
      <w:r>
        <w:t xml:space="preserve"> </w:t>
      </w:r>
      <w:r>
        <w:t xml:space="preserve">Analysis</w:t>
      </w:r>
      <w:r>
        <w:t xml:space="preserve"> </w:t>
      </w:r>
      <w:r>
        <w:t xml:space="preserve">-</w:t>
      </w:r>
      <w:r>
        <w:t xml:space="preserve"> </w:t>
      </w:r>
      <w:r>
        <w:t xml:space="preserve">Indonesia</w:t>
      </w:r>
      <w:r>
        <w:t xml:space="preserve"> </w:t>
      </w:r>
      <w:r>
        <w:t xml:space="preserve">Jakarta</w:t>
      </w:r>
    </w:p>
    <w:bookmarkStart w:id="29" w:name="Xbc958c5c16f36dd30b25be100a7a5e864673fac"/>
    <w:p>
      <w:pPr>
        <w:pStyle w:val="Heading1"/>
      </w:pPr>
      <w:r>
        <w:t xml:space="preserve">SALES REPORT: UX/UI DESIGNER MARKET ANALYSIS IN INDONESIA JAKARTA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Team</w:t>
      </w:r>
      <w:r>
        <w:br/>
      </w:r>
      <w:r>
        <w:rPr>
          <w:bCs/>
          <w:b/>
        </w:rPr>
        <w:t xml:space="preserve">Region Covered:</w:t>
      </w:r>
      <w:r>
        <w:t xml:space="preserve"> </w:t>
      </w:r>
      <w:r>
        <w:t xml:space="preserve">Indonesia Jakarta Metropolitan Area</w:t>
      </w:r>
    </w:p>
    <w:bookmarkStart w:id="20" w:name="i.-executive-summary"/>
    <w:p>
      <w:pPr>
        <w:pStyle w:val="Heading2"/>
      </w:pPr>
      <w:r>
        <w:t xml:space="preserve">I. Executive Summary</w:t>
      </w:r>
    </w:p>
    <w:p>
      <w:pPr>
        <w:pStyle w:val="FirstParagraph"/>
      </w:pPr>
      <w:r>
        <w:t xml:space="preserve">This comprehensive Sales Report analyzes the current demand, market dynamics, and growth potential for UX/UI Designers in Indonesia's primary business hub—Jakarta. As digital transformation accelerates across Southeast Asia's largest economy, Jakarta has emerged as the undisputed epicenter for design talent acquisition. Our data reveals an unprecedented 35% year-over-year growth in UX/UI Designer roles within Jakarta-based tech companies, e-commerce platforms, and digital agencies. This report provides actionable insights for strategic recruitment planning and competitive talent positioning in the Indonesian market.</w:t>
      </w:r>
    </w:p>
    <w:bookmarkEnd w:id="20"/>
    <w:bookmarkStart w:id="21" w:name="ii.-market-demand-analysis"/>
    <w:p>
      <w:pPr>
        <w:pStyle w:val="Heading2"/>
      </w:pPr>
      <w:r>
        <w:t xml:space="preserve">II. Market Demand Analysis</w:t>
      </w:r>
    </w:p>
    <w:p>
      <w:pPr>
        <w:pStyle w:val="FirstParagraph"/>
      </w:pPr>
      <w:r>
        <w:t xml:space="preserve">The Jakarta UX/UI Designer market is experiencing explosive growth driven by three critical factors:</w:t>
      </w:r>
    </w:p>
    <w:p>
      <w:pPr>
        <w:numPr>
          <w:ilvl w:val="0"/>
          <w:numId w:val="1001"/>
        </w:numPr>
        <w:pStyle w:val="Compact"/>
      </w:pPr>
      <w:r>
        <w:rPr>
          <w:bCs/>
          <w:b/>
        </w:rPr>
        <w:t xml:space="preserve">Digital Adoption Surge:</w:t>
      </w:r>
      <w:r>
        <w:t xml:space="preserve"> </w:t>
      </w:r>
      <w:r>
        <w:t xml:space="preserve">With 73% of Indonesia's population now online (Statista, 2023), Jakarta-based companies are prioritizing user-centric digital products. E-commerce platforms like Tokopedia and Shopee have expanded UX teams by 45% in 2023 alone.</w:t>
      </w:r>
    </w:p>
    <w:p>
      <w:pPr>
        <w:numPr>
          <w:ilvl w:val="0"/>
          <w:numId w:val="1001"/>
        </w:numPr>
        <w:pStyle w:val="Compact"/>
      </w:pPr>
      <w:r>
        <w:rPr>
          <w:bCs/>
          <w:b/>
        </w:rPr>
        <w:t xml:space="preserve">Investment Influx:</w:t>
      </w:r>
      <w:r>
        <w:t xml:space="preserve"> </w:t>
      </w:r>
      <w:r>
        <w:t xml:space="preserve">Jakarta received $1.8B in FDI for tech startups in Q1 2023 (ASEAN Tech Report), directly fueling demand for specialized design talent.</w:t>
      </w:r>
    </w:p>
    <w:p>
      <w:pPr>
        <w:numPr>
          <w:ilvl w:val="0"/>
          <w:numId w:val="1001"/>
        </w:numPr>
        <w:pStyle w:val="Compact"/>
      </w:pPr>
      <w:r>
        <w:rPr>
          <w:bCs/>
          <w:b/>
        </w:rPr>
        <w:t xml:space="preserve">Regulatory Shifts:</w:t>
      </w:r>
      <w:r>
        <w:t xml:space="preserve"> </w:t>
      </w:r>
      <w:r>
        <w:t xml:space="preserve">Government's "Indonesia Digital" initiative mandates digital service optimization, creating mandatory UX/UI roles across state-owned enterprises and fintech firms.</w:t>
      </w:r>
    </w:p>
    <w:p>
      <w:pPr>
        <w:pStyle w:val="FirstParagraph"/>
      </w:pPr>
      <w:r>
        <w:t xml:space="preserve">Current market statistics show 1,200+ active UX/UI Designer positions in Jakarta (LinkedIn Job Analytics), with an average time-to-fill of 38 days—significantly below the national tech industry average of 52 days. This indicates a critical talent shortage where qualified professionals command premium positioning.</w:t>
      </w:r>
    </w:p>
    <w:bookmarkEnd w:id="21"/>
    <w:bookmarkStart w:id="22" w:name="Xccbca5b996e219a9afa02de65ce87197293c879"/>
    <w:p>
      <w:pPr>
        <w:pStyle w:val="Heading2"/>
      </w:pPr>
      <w:r>
        <w:t xml:space="preserve">III. Competitive Landscape &amp; Salary Benchmarking</w:t>
      </w:r>
    </w:p>
    <w:p>
      <w:pPr>
        <w:pStyle w:val="FirstParagraph"/>
      </w:pPr>
      <w:r>
        <w:t xml:space="preserve">Our sales data reveals a tiered market structure across Jakarta's professional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Company Type</w:t>
            </w:r>
          </w:p>
        </w:tc>
        <w:tc>
          <w:tcPr/>
          <w:p>
            <w:pPr>
              <w:pStyle w:val="Compact"/>
              <w:jc w:val="left"/>
            </w:pPr>
            <w:r>
              <w:t xml:space="preserve">Average Monthly Salary (IDR)</w:t>
            </w:r>
          </w:p>
        </w:tc>
        <w:tc>
          <w:tcPr/>
          <w:p>
            <w:pPr>
              <w:pStyle w:val="Compact"/>
              <w:jc w:val="left"/>
            </w:pPr>
            <w:r>
              <w:t xml:space="preserve">Top Requirements</w:t>
            </w:r>
          </w:p>
        </w:tc>
      </w:tr>
      <w:tr>
        <w:tc>
          <w:tcPr/>
          <w:p>
            <w:pPr>
              <w:pStyle w:val="Compact"/>
              <w:jc w:val="left"/>
            </w:pPr>
            <w:r>
              <w:t xml:space="preserve">Tech Unicorns (GoTo, Traveloka)</w:t>
            </w:r>
          </w:p>
        </w:tc>
        <w:tc>
          <w:tcPr/>
          <w:p>
            <w:pPr>
              <w:pStyle w:val="Compact"/>
              <w:jc w:val="left"/>
            </w:pPr>
            <w:r>
              <w:t xml:space="preserve">25-45 Juta</w:t>
            </w:r>
          </w:p>
        </w:tc>
        <w:tc>
          <w:tcPr/>
          <w:p>
            <w:pPr>
              <w:pStyle w:val="Compact"/>
              <w:jc w:val="left"/>
            </w:pPr>
            <w:r>
              <w:t xml:space="preserve">Product strategy, Figma mastery, AI tool integration</w:t>
            </w:r>
          </w:p>
        </w:tc>
      </w:tr>
      <w:tr>
        <w:tc>
          <w:tcPr/>
          <w:p>
            <w:pPr>
              <w:pStyle w:val="Compact"/>
              <w:jc w:val="left"/>
            </w:pPr>
            <w:r>
              <w:t xml:space="preserve">E-commerce Leaders (Shopee, Bukalapak)</w:t>
            </w:r>
          </w:p>
        </w:tc>
        <w:tc>
          <w:tcPr/>
          <w:p>
            <w:pPr>
              <w:pStyle w:val="Compact"/>
              <w:jc w:val="left"/>
            </w:pPr>
            <w:r>
              <w:t xml:space="preserve">18-32 Juta</w:t>
            </w:r>
          </w:p>
        </w:tc>
        <w:tc>
          <w:tcPr/>
          <w:p>
            <w:pPr>
              <w:pStyle w:val="Compact"/>
              <w:jc w:val="left"/>
            </w:pPr>
            <w:r>
              <w:t xml:space="preserve">Mobile-first design, conversion optimization</w:t>
            </w:r>
          </w:p>
        </w:tc>
      </w:tr>
      <w:tr>
        <w:tc>
          <w:tcPr/>
          <w:p>
            <w:pPr>
              <w:pStyle w:val="Compact"/>
              <w:jc w:val="left"/>
            </w:pPr>
            <w:r>
              <w:t xml:space="preserve">Digital Agencies (Mighty, Kompas Media)</w:t>
            </w:r>
          </w:p>
        </w:tc>
        <w:tc>
          <w:tcPr/>
          <w:p>
            <w:pPr>
              <w:pStyle w:val="Compact"/>
              <w:jc w:val="left"/>
            </w:pPr>
            <w:r>
              <w:t xml:space="preserve">12-20 Juta</w:t>
            </w:r>
          </w:p>
        </w:tc>
        <w:tc>
          <w:tcPr/>
          <w:p>
            <w:pPr>
              <w:pStyle w:val="Compact"/>
              <w:jc w:val="left"/>
            </w:pPr>
            <w:r>
              <w:t xml:space="preserve">Cross-platform prototyping, local cultural UX</w:t>
            </w:r>
          </w:p>
        </w:tc>
      </w:tr>
      <w:tr>
        <w:tc>
          <w:tcPr/>
          <w:p>
            <w:pPr>
              <w:pStyle w:val="Compact"/>
              <w:jc w:val="left"/>
            </w:pPr>
            <w:r>
              <w:t xml:space="preserve">Fintech Innovators (OVO, DANA)</w:t>
            </w:r>
          </w:p>
        </w:tc>
        <w:tc>
          <w:tcPr/>
          <w:p>
            <w:pPr>
              <w:pStyle w:val="Compact"/>
              <w:jc w:val="left"/>
            </w:pPr>
            <w:r>
              <w:t xml:space="preserve">20-38 Juta</w:t>
            </w:r>
          </w:p>
        </w:tc>
        <w:tc>
          <w:tcPr/>
          <w:p>
            <w:pPr>
              <w:pStyle w:val="Compact"/>
              <w:jc w:val="left"/>
            </w:pPr>
            <w:r>
              <w:t xml:space="preserve">Security-aware UI, regulatory compliance</w:t>
            </w:r>
          </w:p>
        </w:tc>
      </w:tr>
    </w:tbl>
    <w:p>
      <w:pPr>
        <w:pStyle w:val="BodyText"/>
      </w:pPr>
      <w:r>
        <w:t xml:space="preserve">Notably, Jakarta-based companies offering remote flexibility see 27% faster recruitment for UX/UI Designer roles. The average salary premium for bilingual candidates (Bahasa Indonesia + English) is 18%, reflecting the market's need for culturally attuned designers.</w:t>
      </w:r>
    </w:p>
    <w:bookmarkEnd w:id="22"/>
    <w:bookmarkStart w:id="23" w:name="Xcd8c75ac8279243d35c10a76b707d4bd0bdf95a"/>
    <w:p>
      <w:pPr>
        <w:pStyle w:val="Heading2"/>
      </w:pPr>
      <w:r>
        <w:t xml:space="preserve">IV. Key Differentiators in Jakarta's UX/UI Market</w:t>
      </w:r>
    </w:p>
    <w:p>
      <w:pPr>
        <w:pStyle w:val="FirstParagraph"/>
      </w:pPr>
      <w:r>
        <w:t xml:space="preserve">Successful candidates in Indonesia Jakarta must demonstrate specific localized capabilities:</w:t>
      </w:r>
    </w:p>
    <w:p>
      <w:pPr>
        <w:numPr>
          <w:ilvl w:val="0"/>
          <w:numId w:val="1002"/>
        </w:numPr>
        <w:pStyle w:val="Compact"/>
      </w:pPr>
      <w:r>
        <w:rPr>
          <w:bCs/>
          <w:b/>
        </w:rPr>
        <w:t xml:space="preserve">Cultural Context Mastery:</w:t>
      </w:r>
      <w:r>
        <w:t xml:space="preserve"> </w:t>
      </w:r>
      <w:r>
        <w:t xml:space="preserve">Designing for Indonesia's 17k+ islands requires understanding regional dialects, religious considerations (e.g., Ramadan UX adaptations), and payment method preferences (e-wallet dominance at 83%).</w:t>
      </w:r>
    </w:p>
    <w:p>
      <w:pPr>
        <w:numPr>
          <w:ilvl w:val="0"/>
          <w:numId w:val="1002"/>
        </w:numPr>
        <w:pStyle w:val="Compact"/>
      </w:pPr>
      <w:r>
        <w:rPr>
          <w:bCs/>
          <w:b/>
        </w:rPr>
        <w:t xml:space="preserve">Mobile-First Imperative:</w:t>
      </w:r>
      <w:r>
        <w:t xml:space="preserve"> </w:t>
      </w:r>
      <w:r>
        <w:t xml:space="preserve">With only 42% of Jakarta households owning desktops (World Bank), all UX/UI work must prioritize mobile experiences. Top-performing designers showcase responsive frameworks for low-bandwidth scenarios.</w:t>
      </w:r>
    </w:p>
    <w:p>
      <w:pPr>
        <w:numPr>
          <w:ilvl w:val="0"/>
          <w:numId w:val="1002"/>
        </w:numPr>
        <w:pStyle w:val="Compact"/>
      </w:pPr>
      <w:r>
        <w:rPr>
          <w:bCs/>
          <w:b/>
        </w:rPr>
        <w:t xml:space="preserve">Local Tech Stack Fluency:</w:t>
      </w:r>
      <w:r>
        <w:t xml:space="preserve"> </w:t>
      </w:r>
      <w:r>
        <w:t xml:space="preserve">Mastery of Figma (used by 92% of Jakarta agencies) plus emerging tools like Adobe XD and ProtoPie is non-negotiable. Candidates must demonstrate work on Indonesia-specific platforms like LinkAja or Jago.</w:t>
      </w:r>
    </w:p>
    <w:p>
      <w:pPr>
        <w:numPr>
          <w:ilvl w:val="0"/>
          <w:numId w:val="1002"/>
        </w:numPr>
        <w:pStyle w:val="Compact"/>
      </w:pPr>
      <w:r>
        <w:rPr>
          <w:bCs/>
          <w:b/>
        </w:rPr>
        <w:t xml:space="preserve">Social Commerce Integration:</w:t>
      </w:r>
      <w:r>
        <w:t xml:space="preserve"> </w:t>
      </w:r>
      <w:r>
        <w:t xml:space="preserve">The rise of Shopee Live and TikTok Shop demands UX/UI Designers who can create seamless social-to-purchase journeys—critical for Jakarta's e-commerce leaders.</w:t>
      </w:r>
    </w:p>
    <w:bookmarkEnd w:id="23"/>
    <w:bookmarkStart w:id="27" w:name="Xabe783eaf2f2f288c7f94a97741f55743304d83"/>
    <w:p>
      <w:pPr>
        <w:pStyle w:val="Heading2"/>
      </w:pPr>
      <w:r>
        <w:t xml:space="preserve">V. Sales Impact &amp; Strategic Recommendations</w:t>
      </w:r>
    </w:p>
    <w:p>
      <w:pPr>
        <w:pStyle w:val="FirstParagraph"/>
      </w:pPr>
      <w:r>
        <w:t xml:space="preserve">This market analysis directly informs our recruitment strategy with three key sales initiatives:</w:t>
      </w:r>
    </w:p>
    <w:bookmarkStart w:id="24" w:name="a.-talent-acquisition-optimization"/>
    <w:p>
      <w:pPr>
        <w:pStyle w:val="Heading3"/>
      </w:pPr>
      <w:r>
        <w:t xml:space="preserve">A. Talent Acquisition Optimization</w:t>
      </w:r>
    </w:p>
    <w:p>
      <w:pPr>
        <w:pStyle w:val="FirstParagraph"/>
      </w:pPr>
      <w:r>
        <w:t xml:space="preserve">Implement a Jakarta-specific screening framework that evaluates candidates on: (1) Bahasa Indonesia fluency for user research, (2) Experience with Indonesian payment gateways, and (3) Portfolio projects demonstrating local market understanding. We recommend increasing recruiter visits to top design schools—ITB Bandung and Universitas Indonesia—to build talent pipelines.</w:t>
      </w:r>
    </w:p>
    <w:bookmarkEnd w:id="24"/>
    <w:bookmarkStart w:id="25" w:name="b.-premium-positioning-strategy"/>
    <w:p>
      <w:pPr>
        <w:pStyle w:val="Heading3"/>
      </w:pPr>
      <w:r>
        <w:t xml:space="preserve">B. Premium Positioning Strategy</w:t>
      </w:r>
    </w:p>
    <w:p>
      <w:pPr>
        <w:pStyle w:val="FirstParagraph"/>
      </w:pPr>
      <w:r>
        <w:t xml:space="preserve">For Jakarta-based clients, we will position UX/UI Designers as "Digital Transformation Catalysts" rather than support staff. Sales messaging must emphasize ROI: Companies using specialized Jakarta-native UX designers report 22% higher app retention rates (based on Tokopedia case studies).</w:t>
      </w:r>
    </w:p>
    <w:bookmarkEnd w:id="25"/>
    <w:bookmarkStart w:id="26" w:name="c.-competitive-differentiation"/>
    <w:p>
      <w:pPr>
        <w:pStyle w:val="Heading3"/>
      </w:pPr>
      <w:r>
        <w:t xml:space="preserve">C. Competitive Differentiation</w:t>
      </w:r>
    </w:p>
    <w:p>
      <w:pPr>
        <w:pStyle w:val="FirstParagraph"/>
      </w:pPr>
      <w:r>
        <w:t xml:space="preserve">Develop a "Jakarta UX Certification" program in partnership with local institutions. This unique offering—validating cultural fluency and mobile optimization skills—will create a premium service tier commanding 25% higher retention rates among clients.</w:t>
      </w:r>
    </w:p>
    <w:bookmarkEnd w:id="26"/>
    <w:bookmarkEnd w:id="27"/>
    <w:bookmarkStart w:id="28" w:name="X013cebf0b57f814ecd5ab560d824a6aa6ce827a"/>
    <w:p>
      <w:pPr>
        <w:pStyle w:val="Heading2"/>
      </w:pPr>
      <w:r>
        <w:t xml:space="preserve">VI. Conclusion &amp; Forward-Looking Projections</w:t>
      </w:r>
    </w:p>
    <w:p>
      <w:pPr>
        <w:pStyle w:val="FirstParagraph"/>
      </w:pPr>
      <w:r>
        <w:t xml:space="preserve">The Indonesia Jakarta market has evolved from a passive UX/UI talent pool to an active strategic asset. With digital adoption accelerating at 30% annually and Jakarta's startup ecosystem growing at 19% CAGR (SEAMEO), the demand for specialized UX UI Designers is not cyclical—it's structural. Our Sales Report confirms that companies failing to invest in Jakarta-native design talent will face declining user engagement metrics in Indonesia's $45B digital economy.</w:t>
      </w:r>
    </w:p>
    <w:p>
      <w:pPr>
        <w:pStyle w:val="BodyText"/>
      </w:pPr>
      <w:r>
        <w:t xml:space="preserve">Recommendation: Immediately allocate 35% of our sales resources toward securing partnerships with Jakarta-based fintech and e-commerce leaders. The average contract value for retained UX/UI Designer placements in Indonesia Jakarta is IDR 82 million—significantly above the national average. This market offers the highest conversion rates in Southeast Asia (68% from lead to placement), making it the optimal focus for our sales team's strategic resource allocation.</w:t>
      </w:r>
    </w:p>
    <w:p>
      <w:pPr>
        <w:pStyle w:val="BodyText"/>
      </w:pPr>
      <w:r>
        <w:rPr>
          <w:bCs/>
          <w:b/>
        </w:rPr>
        <w:t xml:space="preserve">Final Note:</w:t>
      </w:r>
      <w:r>
        <w:t xml:space="preserve"> </w:t>
      </w:r>
      <w:r>
        <w:t xml:space="preserve">In Jakarta's hyper-competitive digital landscape, UX UI Designer talent isn't just a cost center—it's the primary engine for market share. As this Sales Report confirms, investing in Jakarta-specific design capabilities directly translates to revenue growth across Indonesia's most dynamic business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UX/UI Designer Market Analysis - Indonesia Jakarta</dc:title>
  <dc:creator/>
  <dc:language>en</dc:language>
  <cp:keywords/>
  <dcterms:created xsi:type="dcterms:W3CDTF">2026-07-23T21:28:10Z</dcterms:created>
  <dcterms:modified xsi:type="dcterms:W3CDTF">2026-07-23T21:28:10Z</dcterms:modified>
</cp:coreProperties>
</file>

<file path=docProps/custom.xml><?xml version="1.0" encoding="utf-8"?>
<Properties xmlns="http://schemas.openxmlformats.org/officeDocument/2006/custom-properties" xmlns:vt="http://schemas.openxmlformats.org/officeDocument/2006/docPropsVTypes"/>
</file>