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8" w:name="X64ddedf57f2ac68b9d7c2ce5cf6eee1dabc92c6"/>
    <w:p>
      <w:pPr>
        <w:pStyle w:val="Heading1"/>
      </w:pPr>
      <w:r>
        <w:t xml:space="preserve">Comprehensive Sales Report: UX UI Designer Services Market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UX UI Designer service offerings within Turkey Ankara's rapidly evolving digital landscape. The market demand for specialized UX UI Designers has surged by 47% year-over-year in Ankara, positioning us as a strategic partner for local enterprises seeking to enhance digital customer experiences. Our sales pipeline in Turkey Ankara reflects strong adoption rates, with a 32% increase in new client acquisitions compared to Q2. This document validates our market strategy and outlines actionable opportunities for the final quarter of 2023.</w:t>
      </w:r>
    </w:p>
    <w:bookmarkEnd w:id="20"/>
    <w:bookmarkStart w:id="21" w:name="X43eff923ef828dbf3b3c8aad34e0eb2c87d93c6"/>
    <w:p>
      <w:pPr>
        <w:pStyle w:val="Heading2"/>
      </w:pPr>
      <w:r>
        <w:t xml:space="preserve">II. Market Analysis: UX UI Designer Demand in Ankara</w:t>
      </w:r>
    </w:p>
    <w:p>
      <w:pPr>
        <w:pStyle w:val="FirstParagraph"/>
      </w:pPr>
      <w:r>
        <w:t xml:space="preserve">Ankara's position as Turkey's political and technological hub has accelerated demand for premium UX UI Designers. With over 18,000 digital startups registered in Central Anatolia (Turkish Ministry of Industry), local businesses face critical challenges in converting user engagement into revenue. Our analysis confirms that 76% of Ankara-based enterprises now prioritize UX/UI as a core growth driver—up from 52% in 2021. This trend directly correlates with Turkey's national digital transformation initiative (Digital Transformation Roadmap), which prioritizes user-centric design across public and private sectors.</w:t>
      </w:r>
    </w:p>
    <w:p>
      <w:pPr>
        <w:pStyle w:val="BodyText"/>
      </w:pPr>
      <w:r>
        <w:t xml:space="preserve">Crucially, the distinction between generic designers and certified UX UI Designers has become paramount. Our sales data shows clients reject "one-size-fits-all" solutions in favor of specialists who understand Turkish cultural nuances—such as local payment preferences (e.g., Papara, QNB Finansbank) and mobile-first user behavior patterns unique to Ankara's 5.5 million population. This specialization is why our Turkey Ankara team focuses exclusively on hiring certified UX UI Designers with local market expertise.</w:t>
      </w:r>
    </w:p>
    <w:bookmarkEnd w:id="21"/>
    <w:bookmarkStart w:id="22" w:name="Xdbdbf6236f71ad507075ad3f18dda9e1167686e"/>
    <w:p>
      <w:pPr>
        <w:pStyle w:val="Heading2"/>
      </w:pPr>
      <w:r>
        <w:t xml:space="preserve">III. Sales Performance: Turkey Ankara Segment</w:t>
      </w:r>
    </w:p>
    <w:p>
      <w:pPr>
        <w:pStyle w:val="FirstParagraph"/>
      </w:pPr>
      <w:r>
        <w:t xml:space="preserve">Q3 2023 demonstrated exceptional traction in the Ankara market:</w:t>
      </w:r>
    </w:p>
    <w:p>
      <w:pPr>
        <w:numPr>
          <w:ilvl w:val="0"/>
          <w:numId w:val="1001"/>
        </w:numPr>
        <w:pStyle w:val="Compact"/>
      </w:pPr>
      <w:r>
        <w:rPr>
          <w:bCs/>
          <w:b/>
        </w:rPr>
        <w:t xml:space="preserve">New Client Acquisition:</w:t>
      </w:r>
      <w:r>
        <w:t xml:space="preserve"> </w:t>
      </w:r>
      <w:r>
        <w:t xml:space="preserve">41 new enterprise clients (vs. 31 in Q2), representing $587,000 in contracted revenue</w:t>
      </w:r>
    </w:p>
    <w:p>
      <w:pPr>
        <w:numPr>
          <w:ilvl w:val="0"/>
          <w:numId w:val="1001"/>
        </w:numPr>
        <w:pStyle w:val="Compact"/>
      </w:pPr>
      <w:r>
        <w:t xml:space="preserve">92% (surpassing company average by 18%)</w:t>
      </w:r>
    </w:p>
    <w:p>
      <w:pPr>
        <w:numPr>
          <w:ilvl w:val="0"/>
          <w:numId w:val="1001"/>
        </w:numPr>
        <w:pStyle w:val="Compact"/>
      </w:pPr>
      <w:r>
        <w:t xml:space="preserve">Premium UX UI Designer packages grew by 63%—driven by Ankara's fintech sector demand</w:t>
      </w:r>
    </w:p>
    <w:p>
      <w:pPr>
        <w:pStyle w:val="FirstParagraph"/>
      </w:pPr>
      <w:r>
        <w:t xml:space="preserve">Key success drivers included our localized onboarding process. Unlike competitors offering offshore teams, we deploy Ankara-based UX UI Designers who collaborate in real-time with client stakeholders during business hours (Ankara Time: UTC+3). For example, our partnership with</w:t>
      </w:r>
      <w:r>
        <w:t xml:space="preserve"> </w:t>
      </w:r>
      <w:r>
        <w:rPr>
          <w:iCs/>
          <w:i/>
        </w:rPr>
        <w:t xml:space="preserve">İşbank</w:t>
      </w:r>
      <w:r>
        <w:t xml:space="preserve">'s digital division resulted in a 38% reduction in mobile app bounce rate within 4 months—directly attributed to our UX UI Designer's understanding of Turkish banking user workflows.</w:t>
      </w:r>
    </w:p>
    <w:bookmarkEnd w:id="22"/>
    <w:bookmarkStart w:id="23" w:name="X24134506be755d97e3e0b3ccdf752f85ac693e2"/>
    <w:p>
      <w:pPr>
        <w:pStyle w:val="Heading2"/>
      </w:pPr>
      <w:r>
        <w:t xml:space="preserve">IV. Client Testimonials: Turkey Ankara Impact</w:t>
      </w:r>
    </w:p>
    <w:p>
      <w:pPr>
        <w:pStyle w:val="FirstParagraph"/>
      </w:pPr>
      <w:r>
        <w:t xml:space="preserve">Direct feedback from Ankara-based clients underscores the value proposition:</w:t>
      </w:r>
    </w:p>
    <w:p>
      <w:pPr>
        <w:pStyle w:val="BlockText"/>
      </w:pPr>
      <w:r>
        <w:t xml:space="preserve">"The UX UI Designer assigned to our e-government portal project understood Turkish citizens' digital literacy patterns—unlike global firms who overlooked local context. Their solution increased service completion rates by 51%."</w:t>
      </w:r>
      <w:r>
        <w:br/>
      </w:r>
      <w:r>
        <w:rPr>
          <w:bCs/>
          <w:b/>
        </w:rPr>
        <w:t xml:space="preserve">— Mehmet Yılmaz, Head of Digital Transformation, Ankara Metropolitan Municipality</w:t>
      </w:r>
    </w:p>
    <w:p>
      <w:pPr>
        <w:pStyle w:val="BlockText"/>
      </w:pPr>
      <w:r>
        <w:t xml:space="preserve">"We moved from outsourcing to our Turkey Ankara-based UX UI Designer team because they speak the language of our users. Their redesign of our mobile banking app aligns with Turkish cultural preferences for security and simplicity."</w:t>
      </w:r>
      <w:r>
        <w:br/>
      </w:r>
      <w:r>
        <w:rPr>
          <w:bCs/>
          <w:b/>
        </w:rPr>
        <w:t xml:space="preserve">— Ayşe Kaya, CTO, FinansTek</w:t>
      </w:r>
    </w:p>
    <w:bookmarkEnd w:id="23"/>
    <w:bookmarkStart w:id="24" w:name="X7e2318286d789ccdb9ffdabe77be86f1d026a55"/>
    <w:p>
      <w:pPr>
        <w:pStyle w:val="Heading2"/>
      </w:pPr>
      <w:r>
        <w:t xml:space="preserve">V. Competitive Differentiation in Turkey Ankara Market</w:t>
      </w:r>
    </w:p>
    <w:p>
      <w:pPr>
        <w:pStyle w:val="FirstParagraph"/>
      </w:pPr>
      <w:r>
        <w:t xml:space="preserve">Our Sales Report identifies three critical advantages over competitors operating in Ankara:</w:t>
      </w:r>
    </w:p>
    <w:p>
      <w:pPr>
        <w:numPr>
          <w:ilvl w:val="0"/>
          <w:numId w:val="1002"/>
        </w:numPr>
        <w:pStyle w:val="Compact"/>
      </w:pPr>
      <w:r>
        <w:rPr>
          <w:bCs/>
          <w:b/>
        </w:rPr>
        <w:t xml:space="preserve">Cultural Intelligence:</w:t>
      </w:r>
      <w:r>
        <w:t xml:space="preserve"> </w:t>
      </w:r>
      <w:r>
        <w:t xml:space="preserve">All UX UI Designers undergo mandatory training on Turkish user behavior (e.g., preference for visual over textual interfaces during Ramadan, mobile payment urgency during holidays).</w:t>
      </w:r>
    </w:p>
    <w:p>
      <w:pPr>
        <w:numPr>
          <w:ilvl w:val="0"/>
          <w:numId w:val="1002"/>
        </w:numPr>
        <w:pStyle w:val="Compact"/>
      </w:pPr>
      <w:r>
        <w:rPr>
          <w:bCs/>
          <w:b/>
        </w:rPr>
        <w:t xml:space="preserve">Local Compliance:</w:t>
      </w:r>
      <w:r>
        <w:t xml:space="preserve"> </w:t>
      </w:r>
      <w:r>
        <w:t xml:space="preserve">Our Ankara team ensures designs meet Turkey's Data Protection Authority (KVKK) requirements—critical for clients avoiding 2023 regulatory penalties.</w:t>
      </w:r>
    </w:p>
    <w:p>
      <w:pPr>
        <w:numPr>
          <w:ilvl w:val="0"/>
          <w:numId w:val="1002"/>
        </w:numPr>
        <w:pStyle w:val="Compact"/>
      </w:pPr>
      <w:r>
        <w:rPr>
          <w:bCs/>
          <w:b/>
        </w:rPr>
        <w:t xml:space="preserve">Operational Synergy:</w:t>
      </w:r>
      <w:r>
        <w:t xml:space="preserve"> </w:t>
      </w:r>
      <w:r>
        <w:t xml:space="preserve">We eliminate time-zone barriers by hosting all UX UI Designer meetings in Ankara during business hours, accelerating project cycles by 35% compared to global teams.</w:t>
      </w:r>
    </w:p>
    <w:bookmarkEnd w:id="24"/>
    <w:bookmarkStart w:id="25" w:name="vi.-challenges-and-strategic-adjustments"/>
    <w:p>
      <w:pPr>
        <w:pStyle w:val="Heading2"/>
      </w:pPr>
      <w:r>
        <w:t xml:space="preserve">VI. Challenges and Strategic Adjustments</w:t>
      </w:r>
    </w:p>
    <w:p>
      <w:pPr>
        <w:pStyle w:val="FirstParagraph"/>
      </w:pPr>
      <w:r>
        <w:t xml:space="preserve">Despite strong performance, two challenges emerged in our Turkey Ankara operations:</w:t>
      </w:r>
    </w:p>
    <w:p>
      <w:pPr>
        <w:numPr>
          <w:ilvl w:val="0"/>
          <w:numId w:val="1003"/>
        </w:numPr>
        <w:pStyle w:val="Compact"/>
      </w:pPr>
      <w:r>
        <w:rPr>
          <w:iCs/>
          <w:i/>
        </w:rPr>
        <w:t xml:space="preserve">Challenge:</w:t>
      </w:r>
      <w:r>
        <w:t xml:space="preserve"> </w:t>
      </w:r>
      <w:r>
        <w:t xml:space="preserve">Shortage of senior UX UI Designers with both technical skills and Turkish market knowledge.</w:t>
      </w:r>
    </w:p>
    <w:p>
      <w:pPr>
        <w:numPr>
          <w:ilvl w:val="0"/>
          <w:numId w:val="1003"/>
        </w:numPr>
        <w:pStyle w:val="Compact"/>
      </w:pPr>
      <w:r>
        <w:rPr>
          <w:iCs/>
          <w:i/>
        </w:rPr>
        <w:t xml:space="preserve">Solution:</w:t>
      </w:r>
      <w:r>
        <w:t xml:space="preserve"> </w:t>
      </w:r>
      <w:r>
        <w:t xml:space="preserve">Launched "Ankara Design Academy" in partnership with Hacettepe University, training 28 new designers (100% hired for client projects) to address the talent gap.</w:t>
      </w:r>
    </w:p>
    <w:p>
      <w:pPr>
        <w:numPr>
          <w:ilvl w:val="0"/>
          <w:numId w:val="1003"/>
        </w:numPr>
        <w:pStyle w:val="Compact"/>
      </w:pPr>
      <w:r>
        <w:rPr>
          <w:iCs/>
          <w:i/>
        </w:rPr>
        <w:t xml:space="preserve">Challenge:</w:t>
      </w:r>
      <w:r>
        <w:t xml:space="preserve"> </w:t>
      </w:r>
      <w:r>
        <w:t xml:space="preserve">Clients expecting faster deliverables than our quality-assurance process allows.</w:t>
      </w:r>
    </w:p>
    <w:p>
      <w:pPr>
        <w:numPr>
          <w:ilvl w:val="0"/>
          <w:numId w:val="1003"/>
        </w:numPr>
        <w:pStyle w:val="Compact"/>
      </w:pPr>
      <w:r>
        <w:rPr>
          <w:iCs/>
          <w:i/>
        </w:rPr>
        <w:t xml:space="preserve">Solution:</w:t>
      </w:r>
      <w:r>
        <w:t xml:space="preserve"> </w:t>
      </w:r>
      <w:r>
        <w:t xml:space="preserve">Implemented a tiered service model (Standard/Pro/Premium) with clear timeline commitments—reducing scope-change requests by 67%.</w:t>
      </w:r>
    </w:p>
    <w:bookmarkEnd w:id="25"/>
    <w:bookmarkStart w:id="26" w:name="vii.-q4-growth-opportunities-in-ankara"/>
    <w:p>
      <w:pPr>
        <w:pStyle w:val="Heading2"/>
      </w:pPr>
      <w:r>
        <w:t xml:space="preserve">VII. Q4 Growth Opportunities in Ankara</w:t>
      </w:r>
    </w:p>
    <w:p>
      <w:pPr>
        <w:pStyle w:val="FirstParagraph"/>
      </w:pPr>
      <w:r>
        <w:t xml:space="preserve">Based on our Sales Report data, we recommend focusing on three high-potential sectors in Turkey Ankara for Q4:</w:t>
      </w:r>
    </w:p>
    <w:p>
      <w:pPr>
        <w:numPr>
          <w:ilvl w:val="0"/>
          <w:numId w:val="1004"/>
        </w:numPr>
        <w:pStyle w:val="Compact"/>
      </w:pPr>
      <w:r>
        <w:rPr>
          <w:bCs/>
          <w:b/>
        </w:rPr>
        <w:t xml:space="preserve">Public Sector Digitalization:</w:t>
      </w:r>
      <w:r>
        <w:t xml:space="preserve"> </w:t>
      </w:r>
      <w:r>
        <w:t xml:space="preserve">70+ new government projects require UX UI Designers (e.g., e-health platforms under "Digital Health Roadmap").</w:t>
      </w:r>
    </w:p>
    <w:p>
      <w:pPr>
        <w:numPr>
          <w:ilvl w:val="0"/>
          <w:numId w:val="1004"/>
        </w:numPr>
        <w:pStyle w:val="Compact"/>
      </w:pPr>
      <w:r>
        <w:rPr>
          <w:bCs/>
          <w:b/>
        </w:rPr>
        <w:t xml:space="preserve">Turkish E-commerce Expansion:</w:t>
      </w:r>
      <w:r>
        <w:t xml:space="preserve"> </w:t>
      </w:r>
      <w:r>
        <w:t xml:space="preserve">Ankara-based startups seeking to capture regional market share need mobile-first UX UI solutions.</w:t>
      </w:r>
    </w:p>
    <w:p>
      <w:pPr>
        <w:numPr>
          <w:ilvl w:val="0"/>
          <w:numId w:val="1004"/>
        </w:numPr>
        <w:pStyle w:val="Compact"/>
      </w:pPr>
      <w:r>
        <w:rPr>
          <w:bCs/>
          <w:b/>
        </w:rPr>
        <w:t xml:space="preserve">AI Integration Services:</w:t>
      </w:r>
      <w:r>
        <w:t xml:space="preserve"> </w:t>
      </w:r>
      <w:r>
        <w:t xml:space="preserve">42% of current clients request AI-enhanced user flows—creating a new revenue stream for our UX UI Designers.</w:t>
      </w:r>
    </w:p>
    <w:bookmarkEnd w:id="26"/>
    <w:bookmarkStart w:id="27" w:name="viii.-conclusion-the-ankara-imperative"/>
    <w:p>
      <w:pPr>
        <w:pStyle w:val="Heading2"/>
      </w:pPr>
      <w:r>
        <w:t xml:space="preserve">VIII. Conclusion: The Ankara Imperative</w:t>
      </w:r>
    </w:p>
    <w:p>
      <w:pPr>
        <w:pStyle w:val="FirstParagraph"/>
      </w:pPr>
      <w:r>
        <w:t xml:space="preserve">This Sales Report confirms that Turkey Ankara is not merely a regional market but the epicenter of digital transformation in Turkey. Our specialized focus on deploying culturally fluent UX UI Designers has created a sustainable competitive edge—evidenced by our 47% YoY demand growth and 92% client retention. As Ankara continues to lead Turkey's tech adoption (with 21,000+ new digital jobs projected for 2024), investing in local UX UI Designer talent remains the strategic cornerstone of our market leadership.</w:t>
      </w:r>
    </w:p>
    <w:p>
      <w:pPr>
        <w:pStyle w:val="BodyText"/>
      </w:pPr>
      <w:r>
        <w:t xml:space="preserve">Recommendation: Allocate 35% of Q4 marketing budget toward targeted campaigns for Ankara's emerging fintech and public-sector clients. We project $850,000 in new sales from these segments based on current pipeline velocity. The future of UX UI Designer services in Turkey Ankara isn't just about design—it's about driving national digital maturity.</w:t>
      </w:r>
    </w:p>
    <w:p>
      <w:pPr>
        <w:pStyle w:val="BodyText"/>
      </w:pPr>
      <w:r>
        <w:rPr>
          <w:bCs/>
          <w:b/>
        </w:rPr>
        <w:t xml:space="preserve">Prepared by:</w:t>
      </w:r>
      <w:r>
        <w:t xml:space="preserve"> </w:t>
      </w:r>
      <w:r>
        <w:t xml:space="preserve">Digital Growth Division</w:t>
      </w:r>
      <w:r>
        <w:br/>
      </w:r>
      <w:r>
        <w:rPr>
          <w:bCs/>
          <w:b/>
        </w:rPr>
        <w:t xml:space="preserve">Contact:</w:t>
      </w:r>
      <w:r>
        <w:t xml:space="preserve"> </w:t>
      </w:r>
      <w:r>
        <w:t xml:space="preserve">sales.another@uxui.turkey.com | +90 312 456 7890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Services in Turkey Ankara</dc:title>
  <dc:creator/>
  <dc:language>en</dc:language>
  <cp:keywords/>
  <dcterms:created xsi:type="dcterms:W3CDTF">2026-07-23T06:51:04Z</dcterms:created>
  <dcterms:modified xsi:type="dcterms:W3CDTF">2026-07-23T06:51:04Z</dcterms:modified>
</cp:coreProperties>
</file>

<file path=docProps/custom.xml><?xml version="1.0" encoding="utf-8"?>
<Properties xmlns="http://schemas.openxmlformats.org/officeDocument/2006/custom-properties" xmlns:vt="http://schemas.openxmlformats.org/officeDocument/2006/docPropsVTypes"/>
</file>