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31" w:name="Xd2b5d4099629d93a9d5da38cb1cfe13d2ea350f"/>
    <w:p>
      <w:pPr>
        <w:pStyle w:val="Heading1"/>
      </w:pPr>
      <w:r>
        <w:t xml:space="preserve">Comprehensive Sales Report: UX UI Designer Talent Acquisition in United Arab Emirates Abu Dhabi (Q3 2024)</w:t>
      </w:r>
    </w:p>
    <w:p>
      <w:pPr>
        <w:pStyle w:val="FirstParagraph"/>
      </w:pPr>
      <w:r>
        <w:rPr>
          <w:bCs/>
          <w:b/>
        </w:rPr>
        <w:t xml:space="preserve">Prepared For:</w:t>
      </w:r>
      <w:r>
        <w:t xml:space="preserve"> </w:t>
      </w:r>
      <w:r>
        <w:t xml:space="preserve">Executive Leadership &amp; Strategic Partnerships, UAE National Innovation Office</w:t>
      </w:r>
      <w:r>
        <w:br/>
      </w:r>
      <w:r>
        <w:rPr>
          <w:bCs/>
          <w:b/>
        </w:rPr>
        <w:t xml:space="preserve">Date:</w:t>
      </w:r>
      <w:r>
        <w:t xml:space="preserve"> </w:t>
      </w:r>
      <w:r>
        <w:t xml:space="preserve">October 26, 2024</w:t>
      </w:r>
      <w:r>
        <w:br/>
      </w:r>
      <w:r>
        <w:rPr>
          <w:bCs/>
          <w:b/>
        </w:rPr>
        <w:t xml:space="preserve">Report Scope:</w:t>
      </w:r>
      <w:r>
        <w:t xml:space="preserve"> </w:t>
      </w:r>
      <w:r>
        <w:t xml:space="preserve">Sales Performance Analysis of UX/UI Designer Talent Acquisition in Abu Dhabi's Digital Economy</w:t>
      </w:r>
    </w:p>
    <w:bookmarkStart w:id="20" w:name="i.-executive-summary"/>
    <w:p>
      <w:pPr>
        <w:pStyle w:val="Heading2"/>
      </w:pPr>
      <w:r>
        <w:t xml:space="preserve">I. Executive Summary</w:t>
      </w:r>
    </w:p>
    <w:p>
      <w:pPr>
        <w:pStyle w:val="FirstParagraph"/>
      </w:pPr>
      <w:r>
        <w:t xml:space="preserve">This Sales Report details the strategic positioning of UX UI Designer recruitment within the United Arab Emirates Abu Dhabi market, highlighting critical sales performance metrics and future growth trajectories. The UAE's digital transformation initiatives have created unprecedented demand for specialized UX UI Designer talent, with Abu Dhabi emerging as the regional epicenter for premium design-driven solutions. Our sales pipeline reflects a 37% year-over-year growth in UX UI Designer service contracts across government entities, fintech startups, and luxury hospitality sectors in Abu Dhabi. This document serves as both an operational sales tracker and strategic roadmap for capturing market share within the United Arab Emirates Abu Dhabi ecosystem.</w:t>
      </w:r>
    </w:p>
    <w:bookmarkEnd w:id="20"/>
    <w:bookmarkStart w:id="22" w:name="X2336b369b83ade96e6b4266fb42f4be8486b98a"/>
    <w:p>
      <w:pPr>
        <w:pStyle w:val="Heading2"/>
      </w:pPr>
      <w:r>
        <w:t xml:space="preserve">II. Market Context: UAE Digital Transformation Acceleration</w:t>
      </w:r>
    </w:p>
    <w:p>
      <w:pPr>
        <w:pStyle w:val="FirstParagraph"/>
      </w:pPr>
      <w:r>
        <w:t xml:space="preserve">The United Arab Emirates Abu Dhabi government's Vision 2030 initiatives have positioned UX UI Design as a non-negotiable competency for digital service delivery. With 89% of Abu Dhabi-based enterprises now prioritizing user-centered design (Source: Dubai Economic Development Council, Q2 2024), the demand for certified UX UI Designer professionals has outpaced supply by 1:3. Our Sales Report confirms that Abu Dhabi's market absorbs approximately 1,800 new UX UI Designer roles annually across sectors including Smart City initiatives (e.g., Masdar City), ADNOC digital platforms, and Abu Dhabi Global Market fintech hubs. This represents a 42% surge from 2022, directly correlating with Abu Dhabi's ranking as the #1 global city for digital innovation in the Arab World (World Economic Forum).</w:t>
      </w:r>
    </w:p>
    <w:bookmarkStart w:id="21" w:name="key-demand-drivers"/>
    <w:p>
      <w:pPr>
        <w:pStyle w:val="Heading3"/>
      </w:pPr>
      <w:r>
        <w:t xml:space="preserve">Key Demand Drivers:</w:t>
      </w:r>
    </w:p>
    <w:p>
      <w:pPr>
        <w:numPr>
          <w:ilvl w:val="0"/>
          <w:numId w:val="1001"/>
        </w:numPr>
        <w:pStyle w:val="Compact"/>
      </w:pPr>
      <w:r>
        <w:rPr>
          <w:bCs/>
          <w:b/>
        </w:rPr>
        <w:t xml:space="preserve">Government Mandates:</w:t>
      </w:r>
      <w:r>
        <w:t xml:space="preserve"> </w:t>
      </w:r>
      <w:r>
        <w:t xml:space="preserve">Abu Dhabi Digital Authority requires all new public services to undergo UX UI Designer certification</w:t>
      </w:r>
    </w:p>
    <w:p>
      <w:pPr>
        <w:numPr>
          <w:ilvl w:val="0"/>
          <w:numId w:val="1001"/>
        </w:numPr>
        <w:pStyle w:val="Compact"/>
      </w:pPr>
      <w:r>
        <w:rPr>
          <w:bCs/>
          <w:b/>
        </w:rPr>
        <w:t xml:space="preserve">Economic Diversification:</w:t>
      </w:r>
      <w:r>
        <w:t xml:space="preserve"> </w:t>
      </w:r>
      <w:r>
        <w:t xml:space="preserve">75% of new commercial projects in Abu Dhabi require native Arabic-English UX UI solutions</w:t>
      </w:r>
    </w:p>
    <w:p>
      <w:pPr>
        <w:numPr>
          <w:ilvl w:val="0"/>
          <w:numId w:val="1001"/>
        </w:numPr>
        <w:pStyle w:val="Compact"/>
      </w:pPr>
      <w:r>
        <w:rPr>
          <w:bCs/>
          <w:b/>
        </w:rPr>
        <w:t xml:space="preserve">Tech Investment Surge:</w:t>
      </w:r>
      <w:r>
        <w:t xml:space="preserve"> </w:t>
      </w:r>
      <w:r>
        <w:t xml:space="preserve">$2.3B allocated to digital experience startups in Abu Dhabi (2024)</w:t>
      </w:r>
    </w:p>
    <w:bookmarkEnd w:id="21"/>
    <w:bookmarkEnd w:id="22"/>
    <w:bookmarkStart w:id="23" w:name="iii.-sales-performance-analysis-q3-2024"/>
    <w:p>
      <w:pPr>
        <w:pStyle w:val="Heading2"/>
      </w:pPr>
      <w:r>
        <w:t xml:space="preserve">III. Sales Performance Analysis: Q3 2024</w:t>
      </w:r>
    </w:p>
    <w:p>
      <w:pPr>
        <w:pStyle w:val="FirstParagraph"/>
      </w:pPr>
      <w:r>
        <w:t xml:space="preserve">This Sales Report quantifies our market penetration in the United Arab Emirates Abu Dhabi UX UI Designer segment. Our key metrics demonstrate exceptional growth:</w:t>
      </w:r>
    </w:p>
    <w:p>
      <w:pPr>
        <w:pStyle w:val="BodyText"/>
      </w:pPr>
      <w:r>
        <w:t xml:space="preserve">Indicator</w:t>
      </w:r>
    </w:p>
    <w:p>
      <w:pPr>
        <w:pStyle w:val="BodyText"/>
      </w:pPr>
      <w:r>
        <w:t xml:space="preserve">Q3 2024</w:t>
      </w:r>
    </w:p>
    <w:p>
      <w:pPr>
        <w:pStyle w:val="BodyText"/>
      </w:pPr>
      <w:r>
        <w:t xml:space="preserve">Q2 2024</w:t>
      </w:r>
    </w:p>
    <w:p>
      <w:pPr>
        <w:pStyle w:val="BodyText"/>
      </w:pPr>
      <w:r>
        <w:t xml:space="preserve">YoY Growth</w:t>
      </w:r>
    </w:p>
    <w:p>
      <w:pPr>
        <w:pStyle w:val="BodyText"/>
      </w:pPr>
      <w:r>
        <w:t xml:space="preserve">New Client Acquisition (UX UI Contracts)</w:t>
      </w:r>
    </w:p>
    <w:p>
      <w:pPr>
        <w:pStyle w:val="BodyText"/>
      </w:pPr>
      <w:r>
        <w:t xml:space="preserve">187</w:t>
      </w:r>
    </w:p>
    <w:p>
      <w:pPr>
        <w:pStyle w:val="BodyText"/>
      </w:pPr>
      <w:r>
        <w:t xml:space="preserve">139</w:t>
      </w:r>
    </w:p>
    <w:p>
      <w:pPr>
        <w:pStyle w:val="BodyText"/>
      </w:pPr>
      <w:r>
        <w:t xml:space="preserve">+34.5%</w:t>
      </w:r>
    </w:p>
    <w:p>
      <w:pPr>
        <w:pStyle w:val="BodyText"/>
      </w:pPr>
      <w:r>
        <w:t xml:space="preserve">Average Contract Value (AED)</w:t>
      </w:r>
    </w:p>
    <w:p>
      <w:pPr>
        <w:pStyle w:val="BodyText"/>
      </w:pPr>
      <w:r>
        <w:t xml:space="preserve">286,000</w:t>
      </w:r>
    </w:p>
    <w:p>
      <w:pPr>
        <w:pStyle w:val="BodyText"/>
      </w:pPr>
      <w:r>
        <w:t xml:space="preserve">&lt;</w:t>
      </w:r>
    </w:p>
    <w:p>
      <w:pPr>
        <w:pStyle w:val="BodyText"/>
      </w:pPr>
      <w:r>
        <w:t xml:space="preserve">252,000</w:t>
      </w:r>
    </w:p>
    <w:p>
      <w:pPr>
        <w:pStyle w:val="BodyText"/>
      </w:pPr>
      <w:r>
        <w:t xml:space="preserve">Abu Dhabi Market Share</w:t>
      </w:r>
    </w:p>
    <w:p>
      <w:pPr>
        <w:pStyle w:val="BodyText"/>
      </w:pPr>
      <w:r>
        <w:t xml:space="preserve">31.7%</w:t>
      </w:r>
    </w:p>
    <w:p>
      <w:pPr>
        <w:pStyle w:val="BodyText"/>
      </w:pPr>
      <w:r>
        <w:t xml:space="preserve">24.3%</w:t>
      </w:r>
    </w:p>
    <w:p>
      <w:pPr>
        <w:pStyle w:val="BodyText"/>
      </w:pPr>
      <w:r>
        <w:t xml:space="preserve">+7.4 pts</w:t>
      </w:r>
    </w:p>
    <w:p>
      <w:pPr>
        <w:pStyle w:val="BodyText"/>
      </w:pPr>
      <w:r>
        <w:t xml:space="preserve">Cross-Sell Rate (UX UI + Dev)</w:t>
      </w:r>
    </w:p>
    <w:p>
      <w:pPr>
        <w:pStyle w:val="BodyText"/>
      </w:pPr>
      <w:r>
        <w:t xml:space="preserve">&lt;</w:t>
      </w:r>
    </w:p>
    <w:p>
      <w:pPr>
        <w:pStyle w:val="BodyText"/>
      </w:pPr>
      <w:r>
        <w:t xml:space="preserve">68%&lt; td &gt;51%&lt; / td&gt;</w:t>
      </w:r>
    </w:p>
    <w:p>
      <w:pPr>
        <w:pStyle w:val="BodyText"/>
      </w:pPr>
      <w:r>
        <w:t xml:space="preserve">Notable success stories include securing the UX UI Designer contract for Abu Dhabi's new "Digital Citizen Experience Platform" (value: AED 4.2M) and onboarding 12 premium agencies under the ADNOC Digital Innovation Program. Our sales team achieved a 92% client retention rate among existing Abu Dhabi-based enterprises – significantly above the regional average of 78%.</w:t>
      </w:r>
    </w:p>
    <w:bookmarkEnd w:id="23"/>
    <w:bookmarkStart w:id="24" w:name="X46841933372d2151d3cfc86f5bcff346c1c4e72"/>
    <w:p>
      <w:pPr>
        <w:pStyle w:val="Heading2"/>
      </w:pPr>
      <w:r>
        <w:t xml:space="preserve">IV. Competitive Landscape &amp; Sales Challenges</w:t>
      </w:r>
    </w:p>
    <w:p>
      <w:pPr>
        <w:pStyle w:val="FirstParagraph"/>
      </w:pPr>
      <w:r>
        <w:t xml:space="preserve">While demand is robust, our Sales Report identifies three critical challenges in the United Arab Emirates Abu Dhabi market:</w:t>
      </w:r>
    </w:p>
    <w:p>
      <w:pPr>
        <w:numPr>
          <w:ilvl w:val="0"/>
          <w:numId w:val="1002"/>
        </w:numPr>
        <w:pStyle w:val="Compact"/>
      </w:pPr>
      <w:r>
        <w:rPr>
          <w:bCs/>
          <w:b/>
        </w:rPr>
        <w:t xml:space="preserve">Talent Shortage:</w:t>
      </w:r>
      <w:r>
        <w:t xml:space="preserve"> </w:t>
      </w:r>
      <w:r>
        <w:t xml:space="preserve">Only 14% of local UX UI Designer candidates possess Arabic-English design proficiency required by Abu Dhabi government contracts.</w:t>
      </w:r>
    </w:p>
    <w:p>
      <w:pPr>
        <w:numPr>
          <w:ilvl w:val="0"/>
          <w:numId w:val="1002"/>
        </w:numPr>
        <w:pStyle w:val="Compact"/>
      </w:pPr>
      <w:r>
        <w:rPr>
          <w:bCs/>
          <w:b/>
        </w:rPr>
        <w:t xml:space="preserve">Pricing Pressure:</w:t>
      </w:r>
      <w:r>
        <w:t xml:space="preserve"> </w:t>
      </w:r>
      <w:r>
        <w:t xml:space="preserve">Competitors offering "low-cost" remote UX UI Designer services have captured 22% of entry-level contracts in Dubai, but failed to secure Abu Dhabi government projects.</w:t>
      </w:r>
    </w:p>
    <w:p>
      <w:pPr>
        <w:numPr>
          <w:ilvl w:val="0"/>
          <w:numId w:val="1002"/>
        </w:numPr>
        <w:pStyle w:val="Compact"/>
      </w:pPr>
      <w:r>
        <w:rPr>
          <w:bCs/>
          <w:b/>
        </w:rPr>
        <w:t xml:space="preserve">Cultural Alignment:</w:t>
      </w:r>
      <w:r>
        <w:t xml:space="preserve"> </w:t>
      </w:r>
      <w:r>
        <w:t xml:space="preserve">67% of surveyed Abu Dhabi enterprises require UX UI Designer teams with understanding of Emirati user behavior patterns (e.g., family-centric app navigation).</w:t>
      </w:r>
    </w:p>
    <w:p>
      <w:pPr>
        <w:pStyle w:val="FirstParagraph"/>
      </w:pPr>
      <w:r>
        <w:t xml:space="preserve">Our competitive advantage lies in our Abu Dhabi-based design studio network and partnerships with Khalifa University's Digital Design Center, enabling us to deliver culturally contextualized solutions that competitors cannot replicate.</w:t>
      </w:r>
    </w:p>
    <w:bookmarkEnd w:id="24"/>
    <w:bookmarkStart w:id="28" w:name="X83f5365e684d8965d3b4f61f8d9fa6bed98d559"/>
    <w:p>
      <w:pPr>
        <w:pStyle w:val="Heading2"/>
      </w:pPr>
      <w:r>
        <w:t xml:space="preserve">V. Strategic Recommendations for Sales Growth</w:t>
      </w:r>
    </w:p>
    <w:p>
      <w:pPr>
        <w:pStyle w:val="FirstParagraph"/>
      </w:pPr>
      <w:r>
        <w:t xml:space="preserve">Based on this comprehensive Sales Report, we recommend three targeted initiatives to dominate the UX UI Designer market in United Arab Emirates Abu Dhabi:</w:t>
      </w:r>
    </w:p>
    <w:bookmarkStart w:id="25" w:name="abu-dhabi-talent-accelerator-program"/>
    <w:p>
      <w:pPr>
        <w:pStyle w:val="Heading3"/>
      </w:pPr>
      <w:r>
        <w:t xml:space="preserve">1. Abu Dhabi Talent Accelerator Program</w:t>
      </w:r>
    </w:p>
    <w:p>
      <w:pPr>
        <w:pStyle w:val="FirstParagraph"/>
      </w:pPr>
      <w:r>
        <w:t xml:space="preserve">Invest AED 500,000 in a dedicated recruitment pipeline co-developed with Higher Colleges of Technology (HCT) to train 25 Emirati UX UI Designer specialists annually. This directly addresses the talent gap identified in our Sales Report and positions us as the preferred partner for government-aligned projects.</w:t>
      </w:r>
    </w:p>
    <w:bookmarkEnd w:id="25"/>
    <w:bookmarkStart w:id="26" w:name="smart-city-design-certification"/>
    <w:p>
      <w:pPr>
        <w:pStyle w:val="Heading3"/>
      </w:pPr>
      <w:r>
        <w:t xml:space="preserve">2. Smart City Design Certification</w:t>
      </w:r>
    </w:p>
    <w:p>
      <w:pPr>
        <w:pStyle w:val="FirstParagraph"/>
      </w:pPr>
      <w:r>
        <w:t xml:space="preserve">Develop Abu Dhabi-specific UX UI Designer certification for smart city applications (e.g., traffic management, energy consumption portals), aligning with ADMA's 2025 Smart City Roadmap. This creates a new high-value sales stream with projected AED 1.8M revenue by Q1 2025.</w:t>
      </w:r>
    </w:p>
    <w:bookmarkEnd w:id="26"/>
    <w:bookmarkStart w:id="27" w:name="government-tender-response-system"/>
    <w:p>
      <w:pPr>
        <w:pStyle w:val="Heading3"/>
      </w:pPr>
      <w:r>
        <w:t xml:space="preserve">3. Government Tender Response System</w:t>
      </w:r>
    </w:p>
    <w:p>
      <w:pPr>
        <w:pStyle w:val="FirstParagraph"/>
      </w:pPr>
      <w:r>
        <w:t xml:space="preserve">Implement AI-powered bid analysis tool focused exclusively on Abu Dhabi government procurement criteria, reducing response time by 65% and increasing win rate for major contracts from 41% to 78% (per Sales Report data).</w:t>
      </w:r>
    </w:p>
    <w:bookmarkEnd w:id="27"/>
    <w:bookmarkEnd w:id="28"/>
    <w:bookmarkStart w:id="29" w:name="vi.-future-outlook-strategic-imperatives"/>
    <w:p>
      <w:pPr>
        <w:pStyle w:val="Heading2"/>
      </w:pPr>
      <w:r>
        <w:t xml:space="preserve">VI. Future Outlook &amp; Strategic Imperatives</w:t>
      </w:r>
    </w:p>
    <w:p>
      <w:pPr>
        <w:pStyle w:val="FirstParagraph"/>
      </w:pPr>
      <w:r>
        <w:t xml:space="preserve">The United Arab Emirates Abu Dhabi market will require 3,200 additional UX UI Designer professionals by 2026 to meet digital transformation targets, creating a $784M sales opportunity. Our Sales Report confirms that enterprises in Abu Dhabi are prioritizing design maturity over cost – with 89% willing to pay premium for culturally intelligent UX UI solutions.</w:t>
      </w:r>
    </w:p>
    <w:p>
      <w:pPr>
        <w:pStyle w:val="BodyText"/>
      </w:pPr>
      <w:r>
        <w:t xml:space="preserve">Key strategic imperatives include:</w:t>
      </w:r>
    </w:p>
    <w:p>
      <w:pPr>
        <w:numPr>
          <w:ilvl w:val="0"/>
          <w:numId w:val="1003"/>
        </w:numPr>
        <w:pStyle w:val="Compact"/>
      </w:pPr>
      <w:r>
        <w:t xml:space="preserve">Establishing a permanent Abu Dhabi Design Center by Q2 2025</w:t>
      </w:r>
    </w:p>
    <w:p>
      <w:pPr>
        <w:numPr>
          <w:ilvl w:val="0"/>
          <w:numId w:val="1003"/>
        </w:numPr>
        <w:pStyle w:val="Compact"/>
      </w:pPr>
      <w:r>
        <w:t xml:space="preserve">Partnering with Abu Dhabi Department of Culture &amp; Tourism for luxury hospitality UX UI standards</w:t>
      </w:r>
    </w:p>
    <w:p>
      <w:pPr>
        <w:numPr>
          <w:ilvl w:val="0"/>
          <w:numId w:val="1003"/>
        </w:numPr>
        <w:pStyle w:val="Compact"/>
      </w:pPr>
      <w:r>
        <w:t xml:space="preserve">Developing Arabic-first design systems compliant with UAE Digital Identity Framework (UAE-DF)</w:t>
      </w:r>
    </w:p>
    <w:bookmarkEnd w:id="29"/>
    <w:bookmarkStart w:id="30" w:name="X616ae579f1e5a160e1f9d6da788f406f795da8c"/>
    <w:p>
      <w:pPr>
        <w:pStyle w:val="Heading2"/>
      </w:pPr>
      <w:r>
        <w:t xml:space="preserve">VII. Conclusion: Driving Abu Dhabi's Design Economy</w:t>
      </w:r>
    </w:p>
    <w:p>
      <w:pPr>
        <w:pStyle w:val="FirstParagraph"/>
      </w:pPr>
      <w:r>
        <w:t xml:space="preserve">This Sales Report affirms that the UX UI Designer is no longer a supplementary role but the cornerstone of digital success in United Arab Emirates Abu Dhabi. Our strategic positioning – combining hyper-local expertise with global design best practices – has positioned us to capture 40%+ market share within three years. The sales performance data demonstrates clear alignment between our service offerings and Abu Dhabi's national digital ambitions, making us the only partner capable of delivering enterprise-grade UX UI solutions that meet government certification standards while respecting Emirati cultural nuances.</w:t>
      </w:r>
    </w:p>
    <w:p>
      <w:pPr>
        <w:pStyle w:val="BodyText"/>
      </w:pPr>
      <w:r>
        <w:t xml:space="preserve">As Abu Dhabi accelerates toward becoming a global design capital, this Sales Report serves as both a performance indicator and strategic catalyst. We recommend immediate executive approval of all three recommended initiatives to capitalize on the $784M market opportunity identified in our analysis. The future of digital experience delivery in United Arab Emirates Abu Dhabi is designed here, now.</w:t>
      </w:r>
    </w:p>
    <w:p>
      <w:pPr>
        <w:pStyle w:val="BodyText"/>
      </w:pPr>
      <w:r>
        <w:rPr>
          <w:iCs/>
          <w:i/>
        </w:rPr>
        <w:t xml:space="preserve">Prepared by: Global UX Solutions Division | UAE Market Intelligence Unit</w:t>
      </w:r>
      <w:r>
        <w:br/>
      </w:r>
      <w:r>
        <w:rPr>
          <w:iCs/>
          <w:i/>
        </w:rPr>
        <w:t xml:space="preserve">Contact: sales@globalux.ae | +971 2 445 8890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United Arab Emirates Abu Dhabi Market</dc:title>
  <dc:creator/>
  <dc:language>en</dc:language>
  <cp:keywords/>
  <dcterms:created xsi:type="dcterms:W3CDTF">2026-07-24T00:30:48Z</dcterms:created>
  <dcterms:modified xsi:type="dcterms:W3CDTF">2026-07-24T00:30:48Z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