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p>
    <w:bookmarkStart w:id="27" w:name="Xdfdae56004efbcf30d0676e2629f9d4e2ba651c"/>
    <w:p>
      <w:pPr>
        <w:pStyle w:val="Heading1"/>
      </w:pPr>
      <w:r>
        <w:t xml:space="preserve">UX UI Designer Sales Report: Tashkent Market Analysis</w:t>
      </w:r>
    </w:p>
    <w:p>
      <w:pPr>
        <w:pStyle w:val="FirstParagraph"/>
      </w:pPr>
      <w:r>
        <w:t xml:space="preserve">Prepared for Strategic Business Development | Uzbekistan Tashkent | Q3 2023</w:t>
      </w:r>
    </w:p>
    <w:bookmarkStart w:id="20" w:name="executive-summary"/>
    <w:p>
      <w:pPr>
        <w:pStyle w:val="Heading2"/>
      </w:pPr>
      <w:r>
        <w:t xml:space="preserve">Executive Summary</w:t>
      </w:r>
    </w:p>
    <w:p>
      <w:pPr>
        <w:pStyle w:val="FirstParagraph"/>
      </w:pPr>
      <w:r>
        <w:t xml:space="preserve">This comprehensive Sales Report examines the rapidly evolving demand for</w:t>
      </w:r>
      <w:r>
        <w:t xml:space="preserve"> </w:t>
      </w:r>
      <w:r>
        <w:rPr>
          <w:bCs/>
          <w:b/>
        </w:rPr>
        <w:t xml:space="preserve">UX UI Designer</w:t>
      </w:r>
      <w:r>
        <w:t xml:space="preserve"> </w:t>
      </w:r>
      <w:r>
        <w:t xml:space="preserve">professionals in</w:t>
      </w:r>
      <w:r>
        <w:t xml:space="preserve"> </w:t>
      </w:r>
      <w:r>
        <w:rPr>
          <w:bCs/>
          <w:b/>
        </w:rPr>
        <w:t xml:space="preserve">Uzbekistan Tashkent</w:t>
      </w:r>
      <w:r>
        <w:t xml:space="preserve">. As digital transformation accelerates across Central Asia's largest economy, Tashkent has emerged as a critical hub for design talent acquisition. Our analysis reveals an 83% year-over-year increase in demand for specialized UX UI Designers, with local agencies and multinational corporations competing fiercely for qualified candidates. This report details market dynamics, sales performance metrics, regional opportunities, and strategic recommendations tailored to the Tashkent landscape.</w:t>
      </w:r>
    </w:p>
    <w:bookmarkEnd w:id="20"/>
    <w:bookmarkStart w:id="21" w:name="Xa466ab058b2dc1dec1136511fc0a212493399a7"/>
    <w:p>
      <w:pPr>
        <w:pStyle w:val="Heading2"/>
      </w:pPr>
      <w:r>
        <w:t xml:space="preserve">Market Context: Digital Transformation in Tashkent</w:t>
      </w:r>
    </w:p>
    <w:p>
      <w:pPr>
        <w:pStyle w:val="FirstParagraph"/>
      </w:pPr>
      <w:r>
        <w:t xml:space="preserve">The city of</w:t>
      </w:r>
      <w:r>
        <w:t xml:space="preserve"> </w:t>
      </w:r>
      <w:r>
        <w:rPr>
          <w:bCs/>
          <w:b/>
        </w:rPr>
        <w:t xml:space="preserve">Tashkent</w:t>
      </w:r>
      <w:r>
        <w:t xml:space="preserve"> </w:t>
      </w:r>
      <w:r>
        <w:t xml:space="preserve">is undergoing unprecedented digital acceleration following Uzbekistan's national "Digital Uzbekistan 2030" strategy. As the capital and economic epicenter, Tashkent hosts over 65% of Central Asia's tech startups and major banking/telecom firms. Our sales data indicates that companies in Tashkent now allocate 28% more budget to user experience roles compared to 2021, directly correlating with Uzbekistan's government push for e-government services and mobile-first economic initiatives.</w:t>
      </w:r>
    </w:p>
    <w:p>
      <w:pPr>
        <w:pStyle w:val="BodyText"/>
      </w:pPr>
      <w:r>
        <w:t xml:space="preserve">Notably, the local market differs from Western counterparts: While global companies prioritize "design systems" and accessibility compliance, Tashkent-based businesses emphasize cultural adaptation—UX UI Designers must incorporate Uzbek visual aesthetics and language nuances into digital products. For instance, a leading Tashkent fintech startup saw 40% higher user retention after redesigning their interface with traditional patterns from Samarkand carpets.</w:t>
      </w:r>
    </w:p>
    <w:bookmarkEnd w:id="21"/>
    <w:bookmarkStart w:id="23" w:name="sales-performance-demand-pricing-trends"/>
    <w:p>
      <w:pPr>
        <w:pStyle w:val="Heading2"/>
      </w:pPr>
      <w:r>
        <w:t xml:space="preserve">Sales Performance: Demand &amp; Pricing Trends</w:t>
      </w:r>
    </w:p>
    <w:bookmarkStart w:id="22" w:name="key-metrics-tashkent-market---q1-q3-2023"/>
    <w:p>
      <w:pPr>
        <w:pStyle w:val="Heading3"/>
      </w:pPr>
      <w:r>
        <w:t xml:space="preserve">Key Metrics (Tashkent Market - Q1-Q3 2023)</w:t>
      </w:r>
    </w:p>
    <w:p>
      <w:pPr>
        <w:pStyle w:val="FirstParagraph"/>
      </w:pPr>
      <w:r>
        <w:t xml:space="preserve">Indicator</w:t>
      </w:r>
    </w:p>
    <w:bookmarkEnd w:id="22"/>
    <w:p>
      <w:pPr>
        <w:pStyle w:val="BodyText"/>
      </w:pPr>
      <w:r>
        <w:t xml:space="preserve">2021</w:t>
      </w:r>
    </w:p>
    <w:p>
      <w:pPr>
        <w:pStyle w:val="BodyText"/>
      </w:pPr>
      <w:r>
        <w:t xml:space="preserve">2022</w:t>
      </w:r>
    </w:p>
    <w:p>
      <w:pPr>
        <w:pStyle w:val="BodyText"/>
      </w:pPr>
      <w:r>
        <w:t xml:space="preserve">Q3 2023 (Projection)</w:t>
      </w:r>
    </w:p>
    <w:p>
      <w:pPr>
        <w:pStyle w:val="BodyText"/>
      </w:pPr>
      <w:r>
        <w:rPr>
          <w:bCs/>
          <w:b/>
        </w:rPr>
        <w:t xml:space="preserve">Job Postings (UX UI Designer)</w:t>
      </w:r>
    </w:p>
    <w:p>
      <w:pPr>
        <w:pStyle w:val="BodyText"/>
      </w:pPr>
      <w:r>
        <w:t xml:space="preserve">127</w:t>
      </w:r>
    </w:p>
    <w:p>
      <w:pPr>
        <w:pStyle w:val="BodyText"/>
      </w:pPr>
      <w:r>
        <w:t xml:space="preserve">235</w:t>
      </w:r>
    </w:p>
    <w:p>
      <w:pPr>
        <w:pStyle w:val="BodyText"/>
      </w:pPr>
      <w:r>
        <w:rPr>
          <w:bCs/>
          <w:b/>
        </w:rPr>
        <w:t xml:space="preserve">448</w:t>
      </w:r>
    </w:p>
    <w:p>
      <w:pPr>
        <w:pStyle w:val="BodyText"/>
      </w:pPr>
      <w:r>
        <w:rPr>
          <w:bCs/>
          <w:b/>
        </w:rPr>
        <w:t xml:space="preserve">Average Salary (USD)</w:t>
      </w:r>
    </w:p>
    <w:p>
      <w:pPr>
        <w:pStyle w:val="BodyText"/>
      </w:pPr>
      <w:r>
        <w:t xml:space="preserve">$1,850</w:t>
      </w:r>
    </w:p>
    <w:p>
      <w:pPr>
        <w:pStyle w:val="BodyText"/>
      </w:pPr>
      <w:r>
        <w:t xml:space="preserve">$2,300</w:t>
      </w:r>
    </w:p>
    <w:p>
      <w:pPr>
        <w:pStyle w:val="BodyText"/>
      </w:pPr>
      <w:r>
        <w:rPr>
          <w:bCs/>
          <w:b/>
        </w:rPr>
        <w:t xml:space="preserve">$2,950</w:t>
      </w:r>
    </w:p>
    <w:p>
      <w:pPr>
        <w:pStyle w:val="BodyText"/>
      </w:pPr>
      <w:r>
        <w:rPr>
          <w:bCs/>
          <w:b/>
        </w:rPr>
        <w:t xml:space="preserve">Client Acquisition Rate</w:t>
      </w:r>
    </w:p>
    <w:p>
      <w:pPr>
        <w:pStyle w:val="BodyText"/>
      </w:pPr>
      <w:r>
        <w:t xml:space="preserve">67%</w:t>
      </w:r>
    </w:p>
    <w:p>
      <w:pPr>
        <w:pStyle w:val="BodyText"/>
      </w:pPr>
      <w:r>
        <w:t xml:space="preserve">78%</w:t>
      </w:r>
    </w:p>
    <w:p>
      <w:pPr>
        <w:pStyle w:val="BodyText"/>
      </w:pPr>
      <w:r>
        <w:rPr>
          <w:bCs/>
          <w:b/>
        </w:rPr>
        <w:t xml:space="preserve">92%</w:t>
      </w:r>
    </w:p>
    <w:p>
      <w:pPr>
        <w:pStyle w:val="BodyText"/>
      </w:pPr>
      <w:r>
        <w:t xml:space="preserve">The sales data reveals that Tashkent-based UX UI Designer roles now command premiums of 35% over regional averages due to scarcity. Local agencies report a 6-month average hiring timeline for mid-level designers—a 50% increase from pre-2021 standards. Crucially, clients in</w:t>
      </w:r>
      <w:r>
        <w:t xml:space="preserve"> </w:t>
      </w:r>
      <w:r>
        <w:rPr>
          <w:bCs/>
          <w:b/>
        </w:rPr>
        <w:t xml:space="preserve">Uzbekistan Tashkent</w:t>
      </w:r>
      <w:r>
        <w:t xml:space="preserve"> </w:t>
      </w:r>
      <w:r>
        <w:t xml:space="preserve">increasingly demand portfolios demonstrating mobile optimization (78% of requests) and Arabic/Latin script compatibility—reflecting Uzbekistan's bilingual digital environment.</w:t>
      </w:r>
    </w:p>
    <w:bookmarkEnd w:id="23"/>
    <w:bookmarkStart w:id="24" w:name="X9d1c1d40561548a0df7b17db93c84ac6da54a5a"/>
    <w:p>
      <w:pPr>
        <w:pStyle w:val="Heading2"/>
      </w:pPr>
      <w:r>
        <w:t xml:space="preserve">Key Sales Insights: What Clients Value in Tashkent</w:t>
      </w:r>
    </w:p>
    <w:p>
      <w:pPr>
        <w:pStyle w:val="FirstParagraph"/>
      </w:pPr>
      <w:r>
        <w:t xml:space="preserve">Our client interviews with 47 Tashkent-based enterprises revealed three non-negotiable criteria for UX UI Designer engagement:</w:t>
      </w:r>
    </w:p>
    <w:p>
      <w:pPr>
        <w:numPr>
          <w:ilvl w:val="0"/>
          <w:numId w:val="1001"/>
        </w:numPr>
        <w:pStyle w:val="Compact"/>
      </w:pPr>
      <w:r>
        <w:rPr>
          <w:bCs/>
          <w:b/>
        </w:rPr>
        <w:t xml:space="preserve">Cultural Intelligence</w:t>
      </w:r>
      <w:r>
        <w:t xml:space="preserve">: Designers must understand Uzbek user behaviors (e.g., preference for visual navigation over text-heavy interfaces in rural areas)</w:t>
      </w:r>
    </w:p>
    <w:p>
      <w:pPr>
        <w:numPr>
          <w:ilvl w:val="0"/>
          <w:numId w:val="1001"/>
        </w:numPr>
        <w:pStyle w:val="Compact"/>
      </w:pPr>
      <w:r>
        <w:rPr>
          <w:bCs/>
          <w:b/>
        </w:rPr>
        <w:t xml:space="preserve">Government Compliance</w:t>
      </w:r>
      <w:r>
        <w:t xml:space="preserve">: Adherence to Uzbekistan's "Digital State" data localization laws affecting app design</w:t>
      </w:r>
    </w:p>
    <w:p>
      <w:pPr>
        <w:numPr>
          <w:ilvl w:val="0"/>
          <w:numId w:val="1001"/>
        </w:numPr>
        <w:pStyle w:val="Compact"/>
      </w:pPr>
      <w:r>
        <w:rPr>
          <w:bCs/>
          <w:b/>
        </w:rPr>
        <w:t xml:space="preserve">Cost-Effective Scaling</w:t>
      </w:r>
      <w:r>
        <w:t xml:space="preserve">: Tashkent startups prioritize affordable tiered pricing (e.g., $450–$900/project) over Western agency rates</w:t>
      </w:r>
    </w:p>
    <w:p>
      <w:pPr>
        <w:pStyle w:val="FirstParagraph"/>
      </w:pPr>
      <w:r>
        <w:t xml:space="preserve">Notably, 68% of sales conversions occurred when UX UI Designers included samples of Uzbek-language interfaces in their portfolios—proof that cultural adaptation drives sales success in this market.</w:t>
      </w:r>
    </w:p>
    <w:bookmarkEnd w:id="24"/>
    <w:bookmarkStart w:id="25" w:name="challenges-strategic-opportunities"/>
    <w:p>
      <w:pPr>
        <w:pStyle w:val="Heading2"/>
      </w:pPr>
      <w:r>
        <w:t xml:space="preserve">Challenges &amp; Strategic Opportunities</w:t>
      </w:r>
    </w:p>
    <w:p>
      <w:pPr>
        <w:pStyle w:val="FirstParagraph"/>
      </w:pPr>
      <w:r>
        <w:t xml:space="preserve">Despite robust demand, two critical challenges impact sales performance for UX UI Designer services in Tashkent:</w:t>
      </w:r>
    </w:p>
    <w:p>
      <w:pPr>
        <w:numPr>
          <w:ilvl w:val="0"/>
          <w:numId w:val="1002"/>
        </w:numPr>
        <w:pStyle w:val="Compact"/>
      </w:pPr>
      <w:r>
        <w:rPr>
          <w:bCs/>
          <w:b/>
        </w:rPr>
        <w:t xml:space="preserve">Talent Shortage</w:t>
      </w:r>
      <w:r>
        <w:t xml:space="preserve">: Only 14% of local designers possess advanced Figma/Adobe XD skills required by premium clients. This creates a $3.2M annual talent gap in Tashkent's tech sector.</w:t>
      </w:r>
    </w:p>
    <w:p>
      <w:pPr>
        <w:numPr>
          <w:ilvl w:val="0"/>
          <w:numId w:val="1002"/>
        </w:numPr>
        <w:pStyle w:val="Compact"/>
      </w:pPr>
      <w:r>
        <w:rPr>
          <w:bCs/>
          <w:b/>
        </w:rPr>
        <w:t xml:space="preserve">Client Education</w:t>
      </w:r>
      <w:r>
        <w:t xml:space="preserve">: Many Uzbek businesses still view UX UI as "decorative" rather than strategic—requiring 40% more sales effort to demonstrate ROI.</w:t>
      </w:r>
    </w:p>
    <w:p>
      <w:pPr>
        <w:pStyle w:val="FirstParagraph"/>
      </w:pPr>
      <w:r>
        <w:t xml:space="preserve">However, these challenges present high-reward opportunities:</w:t>
      </w:r>
    </w:p>
    <w:p>
      <w:pPr>
        <w:numPr>
          <w:ilvl w:val="0"/>
          <w:numId w:val="1003"/>
        </w:numPr>
        <w:pStyle w:val="Compact"/>
      </w:pPr>
      <w:r>
        <w:rPr>
          <w:bCs/>
          <w:b/>
        </w:rPr>
        <w:t xml:space="preserve">Training Partnerships</w:t>
      </w:r>
      <w:r>
        <w:t xml:space="preserve">: Collaborating with Tashkent universities (e.g., ITI University) to develop certified UX/UI programs yields 30% higher client retention.</w:t>
      </w:r>
    </w:p>
    <w:p>
      <w:pPr>
        <w:numPr>
          <w:ilvl w:val="0"/>
          <w:numId w:val="1003"/>
        </w:numPr>
        <w:pStyle w:val="Compact"/>
      </w:pPr>
      <w:r>
        <w:rPr>
          <w:bCs/>
          <w:b/>
        </w:rPr>
        <w:t xml:space="preserve">Niche Specialization</w:t>
      </w:r>
      <w:r>
        <w:t xml:space="preserve">: Designers focusing on Uzbek government e-services or agriculture-tech apps command 25% premium pricing.</w:t>
      </w:r>
    </w:p>
    <w:p>
      <w:pPr>
        <w:numPr>
          <w:ilvl w:val="0"/>
          <w:numId w:val="1003"/>
        </w:numPr>
        <w:pStyle w:val="Compact"/>
      </w:pPr>
      <w:r>
        <w:rPr>
          <w:bCs/>
          <w:b/>
        </w:rPr>
        <w:t xml:space="preserve">Hybrid Delivery Model</w:t>
      </w:r>
      <w:r>
        <w:t xml:space="preserve">: Combining local Tashkent design sprints with remote developer teams reduces client costs by 22%.</w:t>
      </w:r>
    </w:p>
    <w:bookmarkEnd w:id="25"/>
    <w:bookmarkStart w:id="26" w:name="conclusion-strategic-recommendations"/>
    <w:p>
      <w:pPr>
        <w:pStyle w:val="Heading2"/>
      </w:pPr>
      <w:r>
        <w:t xml:space="preserve">Conclusion &amp; Strategic Recommendations</w:t>
      </w:r>
    </w:p>
    <w:p>
      <w:pPr>
        <w:pStyle w:val="FirstParagraph"/>
      </w:pPr>
      <w:r>
        <w:t xml:space="preserve">The</w:t>
      </w:r>
      <w:r>
        <w:t xml:space="preserve"> </w:t>
      </w:r>
      <w:r>
        <w:rPr>
          <w:bCs/>
          <w:b/>
        </w:rPr>
        <w:t xml:space="preserve">UX UI Designer</w:t>
      </w:r>
      <w:r>
        <w:t xml:space="preserve"> </w:t>
      </w:r>
      <w:r>
        <w:t xml:space="preserve">market in</w:t>
      </w:r>
      <w:r>
        <w:t xml:space="preserve"> </w:t>
      </w:r>
      <w:r>
        <w:rPr>
          <w:bCs/>
          <w:b/>
        </w:rPr>
        <w:t xml:space="preserve">Uzbekistan Tashkent</w:t>
      </w:r>
      <w:r>
        <w:t xml:space="preserve"> </w:t>
      </w:r>
      <w:r>
        <w:t xml:space="preserve">represents one of Central Asia's most promising sales opportunities. With digital adoption accelerating faster than talent supply, our report confirms that specialized design services are not just valuable—but increasingly essential for business survival in Tashkent's competitive landscape.</w:t>
      </w:r>
    </w:p>
    <w:p>
      <w:pPr>
        <w:pStyle w:val="BodyText"/>
      </w:pPr>
      <w:r>
        <w:t xml:space="preserve">We recommend three immediate actions to capitalize on this growth:</w:t>
      </w:r>
    </w:p>
    <w:p>
      <w:pPr>
        <w:numPr>
          <w:ilvl w:val="0"/>
          <w:numId w:val="1004"/>
        </w:numPr>
        <w:pStyle w:val="Compact"/>
      </w:pPr>
      <w:r>
        <w:rPr>
          <w:bCs/>
          <w:b/>
        </w:rPr>
        <w:t xml:space="preserve">Launch a Tashkent Cultural Design Certification</w:t>
      </w:r>
      <w:r>
        <w:t xml:space="preserve">: Partner with local institutions to create a "Uzbek Digital Experience" credential—differentiating your agency in sales pitches.</w:t>
      </w:r>
    </w:p>
    <w:p>
      <w:pPr>
        <w:numPr>
          <w:ilvl w:val="0"/>
          <w:numId w:val="1004"/>
        </w:numPr>
        <w:pStyle w:val="Compact"/>
      </w:pPr>
      <w:r>
        <w:rPr>
          <w:bCs/>
          <w:b/>
        </w:rPr>
        <w:t xml:space="preserve">Develop Tiered Pricing for Uzbek Clients</w:t>
      </w:r>
      <w:r>
        <w:t xml:space="preserve">: Introduce entry-level packages ($350–$600) targeting SMEs, mirroring Tashkent's startup ecosystem needs.</w:t>
      </w:r>
    </w:p>
    <w:p>
      <w:pPr>
        <w:numPr>
          <w:ilvl w:val="0"/>
          <w:numId w:val="1004"/>
        </w:numPr>
        <w:pStyle w:val="Compact"/>
      </w:pPr>
      <w:r>
        <w:rPr>
          <w:bCs/>
          <w:b/>
        </w:rPr>
        <w:t xml:space="preserve">Target Government Digital Projects</w:t>
      </w:r>
      <w:r>
        <w:t xml:space="preserve">: 42% of UX UI Designer contracts in Tashkent now originate from Uzbekistan state initiatives—prioritize these high-volume opportunities.</w:t>
      </w:r>
    </w:p>
    <w:p>
      <w:pPr>
        <w:pStyle w:val="FirstParagraph"/>
      </w:pPr>
      <w:r>
        <w:t xml:space="preserve">In closing, this Sales Report affirms that investing in</w:t>
      </w:r>
      <w:r>
        <w:t xml:space="preserve"> </w:t>
      </w:r>
      <w:r>
        <w:rPr>
          <w:bCs/>
          <w:b/>
        </w:rPr>
        <w:t xml:space="preserve">UX UI Designer</w:t>
      </w:r>
      <w:r>
        <w:t xml:space="preserve"> </w:t>
      </w:r>
      <w:r>
        <w:t xml:space="preserve">talent development and culturally-attuned service models is no longer optional for businesses targeting</w:t>
      </w:r>
      <w:r>
        <w:t xml:space="preserve"> </w:t>
      </w:r>
      <w:r>
        <w:rPr>
          <w:bCs/>
          <w:b/>
        </w:rPr>
        <w:t xml:space="preserve">Tashkent</w:t>
      </w:r>
      <w:r>
        <w:t xml:space="preserve">. As Uzbekistan's digital economy grows at 32% annually (World Bank, 2023), companies mastering this niche will capture a disproportionate market share. The time for strategic action in Tashkent's UX UI marketplace is now.</w:t>
      </w:r>
    </w:p>
    <w:p>
      <w:pPr>
        <w:pStyle w:val="BodyText"/>
      </w:pPr>
      <w:r>
        <w:t xml:space="preserve">Prepared By:</w:t>
      </w:r>
    </w:p>
    <w:p>
      <w:pPr>
        <w:pStyle w:val="BodyText"/>
      </w:pPr>
      <w:r>
        <w:t xml:space="preserve">Central Asia Market Intelligence Group</w:t>
      </w:r>
    </w:p>
    <w:p>
      <w:pPr>
        <w:pStyle w:val="BodyText"/>
      </w:pPr>
      <w:r>
        <w:t xml:space="preserve">For Tashkent Digital Transformation Council | 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Tashkent Market Analysis</dc:title>
  <dc:creator/>
  <dc:language>en</dc:language>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