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Melbourne</w:t>
      </w:r>
      <w:r>
        <w:t xml:space="preserve"> </w:t>
      </w:r>
      <w:r>
        <w:t xml:space="preserve">Pet</w:t>
      </w:r>
      <w:r>
        <w:t xml:space="preserve"> </w:t>
      </w:r>
      <w:r>
        <w:t xml:space="preserve">Care</w:t>
      </w:r>
      <w:r>
        <w:t xml:space="preserve"> </w:t>
      </w:r>
      <w:r>
        <w:t xml:space="preserve">Centre</w:t>
      </w:r>
    </w:p>
    <w:bookmarkStart w:id="32" w:name="X98fd4c4680b7634ef9f15f37aab87030dbb3c0b"/>
    <w:p>
      <w:pPr>
        <w:pStyle w:val="Heading1"/>
      </w:pPr>
      <w:r>
        <w:t xml:space="preserve">ANNUAL SALES REPORT</w:t>
      </w:r>
      <w:r>
        <w:br/>
      </w:r>
      <w:r>
        <w:t xml:space="preserve">FOR MELBOURNE PET CARE CENTRE</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Melbourne Pet Care Centre, a leading veterinary practice operating across key suburbs of Australia Melbourne. Covering the fiscal year ending 30 June 2023, this document provides critical insights into our service delivery, market positioning, and revenue streams within the dynamic Australian veterinary landscape. The report confirms our strategic focus on premium preventative care and community engagement has driven sustainable growth while reinforcing our commitment to animal welfare excellence across Victoria.</w:t>
      </w:r>
    </w:p>
    <w:bookmarkEnd w:id="20"/>
    <w:bookmarkStart w:id="21" w:name="X6374cd3379e97b4b46a198e916f9e6dd166e8cb"/>
    <w:p>
      <w:pPr>
        <w:pStyle w:val="Heading2"/>
      </w:pPr>
      <w:r>
        <w:t xml:space="preserve">Key Sales Metrics: Australia Melbourne Market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2022-23 Value</w:t>
            </w:r>
          </w:p>
        </w:tc>
        <w:tc>
          <w:tcPr/>
          <w:p>
            <w:pPr>
              <w:pStyle w:val="Compact"/>
              <w:jc w:val="left"/>
            </w:pPr>
            <w:r>
              <w:t xml:space="preserve">Previous Year (2021-22)</w:t>
            </w:r>
          </w:p>
        </w:tc>
        <w:tc>
          <w:tcPr/>
          <w:p>
            <w:pPr>
              <w:pStyle w:val="Compact"/>
              <w:jc w:val="left"/>
            </w:pPr>
            <w:r>
              <w:t xml:space="preserve">Growth (%)</w:t>
            </w:r>
          </w:p>
        </w:tc>
      </w:tr>
      <w:tr>
        <w:tc>
          <w:tcPr/>
          <w:p>
            <w:pPr>
              <w:pStyle w:val="Compact"/>
              <w:jc w:val="left"/>
            </w:pPr>
            <w:r>
              <w:t xml:space="preserve">Total Revenue</w:t>
            </w:r>
          </w:p>
        </w:tc>
        <w:tc>
          <w:tcPr/>
          <w:p>
            <w:pPr>
              <w:pStyle w:val="Compact"/>
              <w:jc w:val="left"/>
            </w:pPr>
            <w:r>
              <w:t xml:space="preserve">$4,875,000 AUD</w:t>
            </w:r>
          </w:p>
        </w:tc>
        <w:tc>
          <w:tcPr/>
          <w:p>
            <w:pPr>
              <w:pStyle w:val="Compact"/>
              <w:jc w:val="left"/>
            </w:pPr>
            <w:r>
              <w:t xml:space="preserve">$4,150,000 AUD</w:t>
            </w:r>
          </w:p>
        </w:tc>
        <w:tc>
          <w:tcPr/>
          <w:p>
            <w:pPr>
              <w:pStyle w:val="Compact"/>
              <w:jc w:val="left"/>
            </w:pPr>
            <w:r>
              <w:t xml:space="preserve">17.5%</w:t>
            </w:r>
          </w:p>
        </w:tc>
      </w:tr>
      <w:tr>
        <w:tc>
          <w:tcPr/>
          <w:p>
            <w:pPr>
              <w:pStyle w:val="Compact"/>
              <w:jc w:val="left"/>
            </w:pPr>
            <w:r>
              <w:t xml:space="preserve">New Client Acquisition</w:t>
            </w:r>
          </w:p>
        </w:tc>
        <w:tc>
          <w:tcPr/>
          <w:p>
            <w:pPr>
              <w:pStyle w:val="Compact"/>
              <w:jc w:val="left"/>
            </w:pPr>
            <w:r>
              <w:t xml:space="preserve">328 new families</w:t>
            </w:r>
          </w:p>
        </w:tc>
        <w:tc>
          <w:tcPr/>
          <w:p>
            <w:pPr>
              <w:pStyle w:val="Compact"/>
              <w:jc w:val="left"/>
            </w:pPr>
            <w:r>
              <w:t xml:space="preserve">275 new families</w:t>
            </w:r>
          </w:p>
        </w:tc>
        <w:tc>
          <w:tcPr/>
          <w:p>
            <w:pPr>
              <w:pStyle w:val="Compact"/>
              <w:jc w:val="left"/>
            </w:pPr>
            <w:r>
              <w:t xml:space="preserve">19.3%</w:t>
            </w:r>
          </w:p>
        </w:tc>
      </w:tr>
      <w:tr>
        <w:tc>
          <w:tcPr/>
          <w:p>
            <w:pPr>
              <w:pStyle w:val="Compact"/>
              <w:jc w:val="left"/>
            </w:pPr>
            <w:r>
              <w:t xml:space="preserve">Pet Wellness Visits (Preventative)</w:t>
            </w:r>
          </w:p>
        </w:tc>
        <w:tc>
          <w:tcPr/>
          <w:p>
            <w:pPr>
              <w:pStyle w:val="Compact"/>
              <w:jc w:val="left"/>
            </w:pPr>
            <w:r>
              <w:t xml:space="preserve">6,450 visits</w:t>
            </w:r>
          </w:p>
        </w:tc>
        <w:tc>
          <w:tcPr/>
          <w:p>
            <w:pPr>
              <w:pStyle w:val="Compact"/>
              <w:jc w:val="left"/>
            </w:pPr>
            <w:r>
              <w:t xml:space="preserve">5,180 visits</w:t>
            </w:r>
          </w:p>
        </w:tc>
        <w:tc>
          <w:tcPr/>
          <w:p>
            <w:pPr>
              <w:pStyle w:val="Compact"/>
              <w:jc w:val="left"/>
            </w:pPr>
            <w:r>
              <w:t xml:space="preserve">24.5%</w:t>
            </w:r>
          </w:p>
        </w:tc>
      </w:tr>
      <w:tr>
        <w:tc>
          <w:tcPr/>
          <w:p>
            <w:pPr>
              <w:pStyle w:val="Compact"/>
              <w:jc w:val="left"/>
            </w:pPr>
            <w:r>
              <w:t xml:space="preserve">Diagnostics &amp; Medical Procedures</w:t>
            </w:r>
          </w:p>
        </w:tc>
        <w:tc>
          <w:tcPr/>
          <w:p>
            <w:pPr>
              <w:pStyle w:val="Compact"/>
              <w:jc w:val="left"/>
            </w:pPr>
            <w:r>
              <w:t xml:space="preserve">$1,920,000 AUD</w:t>
            </w:r>
          </w:p>
        </w:tc>
        <w:tc>
          <w:tcPr/>
          <w:p>
            <w:pPr>
              <w:pStyle w:val="Compact"/>
              <w:jc w:val="left"/>
            </w:pPr>
            <w:r>
              <w:t xml:space="preserve">$1,685,000 AUD</w:t>
            </w:r>
          </w:p>
        </w:tc>
        <w:tc>
          <w:tcPr/>
          <w:p>
            <w:pPr>
              <w:pStyle w:val="Compact"/>
              <w:jc w:val="left"/>
            </w:pPr>
            <w:r>
              <w:t xml:space="preserve">13.9%</w:t>
            </w:r>
          </w:p>
        </w:tc>
      </w:tr>
    </w:tbl>
    <w:p>
      <w:pPr>
        <w:pStyle w:val="BodyText"/>
      </w:pPr>
      <w:r>
        <w:rPr>
          <w:bCs/>
          <w:b/>
        </w:rPr>
        <w:t xml:space="preserve">Notable Achievement:</w:t>
      </w:r>
      <w:r>
        <w:t xml:space="preserve"> </w:t>
      </w:r>
      <w:r>
        <w:t xml:space="preserve">Melbourne Pet Care Centre outperformed the Australian Veterinary Association's national average growth rate of 12.7% by 4.8 percentage points, demonstrating strong market leadership in Australia Melbourne's competitive pet healthcare sector.</w:t>
      </w:r>
    </w:p>
    <w:bookmarkEnd w:id="21"/>
    <w:bookmarkStart w:id="25" w:name="X4653f00458d8ddeb63c43802ba0d02fc1e7b533"/>
    <w:p>
      <w:pPr>
        <w:pStyle w:val="Heading2"/>
      </w:pPr>
      <w:r>
        <w:t xml:space="preserve">Service Line Analysis: Veterinary Service Breakdown</w:t>
      </w:r>
    </w:p>
    <w:bookmarkStart w:id="22" w:name="preventative-care-dominates-growth"/>
    <w:p>
      <w:pPr>
        <w:pStyle w:val="Heading3"/>
      </w:pPr>
      <w:r>
        <w:t xml:space="preserve">Preventative Care Dominates Growth</w:t>
      </w:r>
    </w:p>
    <w:p>
      <w:pPr>
        <w:pStyle w:val="FirstParagraph"/>
      </w:pPr>
      <w:r>
        <w:t xml:space="preserve">The most significant revenue driver was our wellness programs, comprising vaccinations, dental checks, and nutritional counseling. This service line grew by 24.5% due to increasing owner awareness of preventative care benefits – a trend particularly strong in Melbourne's urban pet-owning demographics. Our 'Pawfect Start' puppy program (targeting new dog owners) contributed $385,000 AUD in revenue and established 128 new long-term client relationships.</w:t>
      </w:r>
    </w:p>
    <w:bookmarkEnd w:id="22"/>
    <w:bookmarkStart w:id="23" w:name="diagnostic-services-expansion"/>
    <w:p>
      <w:pPr>
        <w:pStyle w:val="Heading3"/>
      </w:pPr>
      <w:r>
        <w:t xml:space="preserve">Diagnostic Services Expansion</w:t>
      </w:r>
    </w:p>
    <w:p>
      <w:pPr>
        <w:pStyle w:val="FirstParagraph"/>
      </w:pPr>
      <w:r>
        <w:t xml:space="preserve">Radiology, bloodwork, and specialist consultations (including our partnership with Melbourne University Veterinary School) generated $1.92M AUD – a 13.9% increase. This growth reflects rising pet owner willingness to invest in advanced diagnostics for early disease detection, aligning with Australia's national veterinary healthcare standards.</w:t>
      </w:r>
    </w:p>
    <w:bookmarkEnd w:id="23"/>
    <w:bookmarkStart w:id="24" w:name="pharmacy-sales-surge"/>
    <w:p>
      <w:pPr>
        <w:pStyle w:val="Heading3"/>
      </w:pPr>
      <w:r>
        <w:t xml:space="preserve">Pharmacy Sales Surge</w:t>
      </w:r>
    </w:p>
    <w:p>
      <w:pPr>
        <w:pStyle w:val="FirstParagraph"/>
      </w:pPr>
      <w:r>
        <w:t xml:space="preserve">Our in-clinic pharmacy achieved remarkable success with 28% year-on-year revenue growth ($780,000 AUD), driven by premium pet food partnerships (notably with Australian brands like Hill's Science Diet and Royal Canin) and prescription medication compliance programs. This is particularly significant for Melbourne-based veterinary practices facing rising cost-of-living pressures.</w:t>
      </w:r>
    </w:p>
    <w:bookmarkEnd w:id="24"/>
    <w:bookmarkEnd w:id="25"/>
    <w:bookmarkStart w:id="27" w:name="Xf832045a3fbd87dd3ddb71b9bf80e8370769b3d"/>
    <w:p>
      <w:pPr>
        <w:pStyle w:val="Heading2"/>
      </w:pPr>
      <w:r>
        <w:t xml:space="preserve">Market Insights: Australia Melbourne Context</w:t>
      </w:r>
    </w:p>
    <w:p>
      <w:pPr>
        <w:pStyle w:val="FirstParagraph"/>
      </w:pPr>
      <w:r>
        <w:t xml:space="preserve">Melbourne's pet ownership landscape continues to evolve, with 63% of households owning at least one pet (compared to 58% nationally). Our data shows a 31% increase in cat ownership across inner-city suburbs like Fitzroy and Richmond – a trend directly influencing our veterinary service mix. The Australian government's recent $20 million investment in rural veterinary services has also created opportunities for our Melbourne practice to extend telehealth consultations to regional areas, generating additional revenue streams.</w:t>
      </w:r>
    </w:p>
    <w:p>
      <w:pPr>
        <w:pStyle w:val="BodyText"/>
      </w:pPr>
      <w:r>
        <w:rPr>
          <w:bCs/>
          <w:b/>
        </w:rPr>
        <w:t xml:space="preserve">Competitive Advantage:</w:t>
      </w:r>
      <w:r>
        <w:t xml:space="preserve"> </w:t>
      </w:r>
      <w:r>
        <w:t xml:space="preserve">Our focus on 'Veterinarian-Client-Pet Relationship' (VCPR) excellence – measured through 92% client satisfaction scores in our end-of-visit surveys – differentiates us from corporate veterinary chains. This personalized approach is particularly valued by Melbourne's affluent suburbs, where 78% of clients cite relationship quality as their top service factor.</w:t>
      </w:r>
    </w:p>
    <w:bookmarkStart w:id="26" w:name="Xf6b3886b0c9f2079cc093c5b298e25a37c972f9"/>
    <w:p>
      <w:pPr>
        <w:pStyle w:val="Heading3"/>
      </w:pPr>
      <w:r>
        <w:t xml:space="preserve">Seasonal Sales Patterns in Australia Melbourne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Revenue Trend</w:t>
            </w:r>
          </w:p>
        </w:tc>
        <w:tc>
          <w:tcPr/>
          <w:p>
            <w:pPr>
              <w:pStyle w:val="Compact"/>
              <w:jc w:val="left"/>
            </w:pPr>
            <w:r>
              <w:t xml:space="preserve">Key Driver</w:t>
            </w:r>
          </w:p>
        </w:tc>
      </w:tr>
      <w:tr>
        <w:tc>
          <w:tcPr/>
          <w:p>
            <w:pPr>
              <w:pStyle w:val="Compact"/>
              <w:jc w:val="left"/>
            </w:pPr>
            <w:r>
              <w:t xml:space="preserve">Q1 (Jul-Sep)</w:t>
            </w:r>
          </w:p>
        </w:tc>
        <w:tc>
          <w:tcPr/>
          <w:p>
            <w:pPr>
              <w:pStyle w:val="Compact"/>
              <w:jc w:val="left"/>
            </w:pPr>
            <w:r>
              <w:t xml:space="preserve">Increase 8.2%</w:t>
            </w:r>
          </w:p>
        </w:tc>
        <w:tc>
          <w:tcPr/>
          <w:p>
            <w:pPr>
              <w:pStyle w:val="Compact"/>
              <w:jc w:val="left"/>
            </w:pPr>
            <w:r>
              <w:t xml:space="preserve">Puppy season demand, vaccination programs</w:t>
            </w:r>
          </w:p>
        </w:tc>
      </w:tr>
      <w:tr>
        <w:tc>
          <w:tcPr/>
          <w:p>
            <w:pPr>
              <w:pStyle w:val="Compact"/>
              <w:jc w:val="left"/>
            </w:pPr>
            <w:r>
              <w:t xml:space="preserve">Q2 (Oct-Dec)</w:t>
            </w:r>
          </w:p>
        </w:tc>
        <w:tc>
          <w:tcPr/>
          <w:p>
            <w:pPr>
              <w:pStyle w:val="Compact"/>
              <w:jc w:val="left"/>
            </w:pPr>
            <w:r>
              <w:t xml:space="preserve">Increase 14.7%</w:t>
            </w:r>
          </w:p>
        </w:tc>
        <w:tc>
          <w:tcPr/>
          <w:p>
            <w:pPr>
              <w:pStyle w:val="Compact"/>
              <w:jc w:val="left"/>
            </w:pPr>
            <w:r>
              <w:t xml:space="preserve">Winter wellness checks, pet insurance uptake</w:t>
            </w:r>
          </w:p>
        </w:tc>
      </w:tr>
      <w:tr>
        <w:tc>
          <w:tcPr/>
          <w:p>
            <w:pPr>
              <w:pStyle w:val="Compact"/>
              <w:jc w:val="left"/>
            </w:pPr>
            <w:r>
              <w:t xml:space="preserve">Q3 (Jan-Mar)</w:t>
            </w:r>
          </w:p>
        </w:tc>
        <w:tc>
          <w:tcPr/>
          <w:p>
            <w:pPr>
              <w:pStyle w:val="Compact"/>
              <w:jc w:val="left"/>
            </w:pPr>
            <w:r>
              <w:t xml:space="preserve">Increase 6.1%</w:t>
            </w:r>
          </w:p>
        </w:tc>
        <w:tc>
          <w:tcPr/>
          <w:p>
            <w:pPr>
              <w:pStyle w:val="Compact"/>
              <w:jc w:val="left"/>
            </w:pPr>
            <w:r>
              <w:t xml:space="preserve">Spring flea/tick prevention campaigns</w:t>
            </w:r>
          </w:p>
        </w:tc>
      </w:tr>
      <w:tr>
        <w:tc>
          <w:tcPr/>
          <w:p>
            <w:pPr>
              <w:pStyle w:val="Compact"/>
              <w:jc w:val="left"/>
            </w:pPr>
            <w:r>
              <w:t xml:space="preserve">Q4 (Apr-Jun)</w:t>
            </w:r>
          </w:p>
        </w:tc>
        <w:tc>
          <w:tcPr/>
          <w:p>
            <w:pPr>
              <w:pStyle w:val="Compact"/>
              <w:jc w:val="left"/>
            </w:pPr>
            <w:r>
              <w:t xml:space="preserve">Increase 12.9%</w:t>
            </w:r>
          </w:p>
        </w:tc>
        <w:tc>
          <w:tcPr/>
          <w:p>
            <w:pPr>
              <w:pStyle w:val="Compact"/>
              <w:jc w:val="left"/>
            </w:pPr>
            <w:r>
              <w:t xml:space="preserve">Annual wellness plan renewals, Christmas pet gifts</w:t>
            </w:r>
          </w:p>
        </w:tc>
      </w:tr>
    </w:tbl>
    <w:bookmarkEnd w:id="26"/>
    <w:bookmarkEnd w:id="27"/>
    <w:bookmarkStart w:id="30" w:name="Xa549dbbf6526cc660d0f68a8d99ebeb221f0d3d"/>
    <w:p>
      <w:pPr>
        <w:pStyle w:val="Heading2"/>
      </w:pPr>
      <w:r>
        <w:t xml:space="preserve">Challenges &amp; Strategic Opportunities in Australia Melbourne</w:t>
      </w:r>
    </w:p>
    <w:bookmarkStart w:id="28" w:name="key-challenges-identified"/>
    <w:p>
      <w:pPr>
        <w:pStyle w:val="Heading3"/>
      </w:pPr>
      <w:r>
        <w:t xml:space="preserve">Key Challenges Identified</w:t>
      </w:r>
    </w:p>
    <w:p>
      <w:pPr>
        <w:numPr>
          <w:ilvl w:val="0"/>
          <w:numId w:val="1001"/>
        </w:numPr>
        <w:pStyle w:val="Compact"/>
      </w:pPr>
      <w:r>
        <w:rPr>
          <w:bCs/>
          <w:b/>
        </w:rPr>
        <w:t xml:space="preserve">Rising Operational Costs:</w:t>
      </w:r>
      <w:r>
        <w:t xml:space="preserve"> </w:t>
      </w:r>
      <w:r>
        <w:t xml:space="preserve">Veterinary supplies increased by 18.7% (vs. inflation of 6.8%) due to global supply chain pressures affecting Australia Melbourne's import-dependent pet pharmacy market.</w:t>
      </w:r>
    </w:p>
    <w:p>
      <w:pPr>
        <w:numPr>
          <w:ilvl w:val="0"/>
          <w:numId w:val="1001"/>
        </w:numPr>
        <w:pStyle w:val="Compact"/>
      </w:pPr>
      <w:r>
        <w:rPr>
          <w:bCs/>
          <w:b/>
        </w:rPr>
        <w:t xml:space="preserve">Workforce Shortages:</w:t>
      </w:r>
      <w:r>
        <w:t xml:space="preserve"> </w:t>
      </w:r>
      <w:r>
        <w:t xml:space="preserve">Victoria's veterinary sector faces a 23% vacancy rate in clinical roles, impacting service capacity during peak seasons.</w:t>
      </w:r>
    </w:p>
    <w:p>
      <w:pPr>
        <w:numPr>
          <w:ilvl w:val="0"/>
          <w:numId w:val="1001"/>
        </w:numPr>
        <w:pStyle w:val="Compact"/>
      </w:pPr>
      <w:r>
        <w:rPr>
          <w:bCs/>
          <w:b/>
        </w:rPr>
        <w:t xml:space="preserve">Regulatory Compliance:</w:t>
      </w:r>
      <w:r>
        <w:t xml:space="preserve"> </w:t>
      </w:r>
      <w:r>
        <w:t xml:space="preserve">New Australian Veterinary Board standards for telehealth documentation required significant system upgrades.</w:t>
      </w:r>
    </w:p>
    <w:bookmarkEnd w:id="28"/>
    <w:bookmarkStart w:id="29" w:name="strategic-opportunities"/>
    <w:p>
      <w:pPr>
        <w:pStyle w:val="Heading3"/>
      </w:pPr>
      <w:r>
        <w:t xml:space="preserve">Strategic Opportunities</w:t>
      </w:r>
    </w:p>
    <w:p>
      <w:pPr>
        <w:numPr>
          <w:ilvl w:val="0"/>
          <w:numId w:val="1002"/>
        </w:numPr>
        <w:pStyle w:val="Compact"/>
      </w:pPr>
      <w:r>
        <w:rPr>
          <w:bCs/>
          <w:b/>
        </w:rPr>
        <w:t xml:space="preserve">Telemedicine Expansion:</w:t>
      </w:r>
      <w:r>
        <w:t xml:space="preserve"> </w:t>
      </w:r>
      <w:r>
        <w:t xml:space="preserve">Developing Melbourne-specific virtual consult packages for pet owners in remote areas (e.g., Gippsland, Ballarat) with projected $250k AUD annual revenue by 2024.</w:t>
      </w:r>
    </w:p>
    <w:p>
      <w:pPr>
        <w:numPr>
          <w:ilvl w:val="0"/>
          <w:numId w:val="1002"/>
        </w:numPr>
        <w:pStyle w:val="Compact"/>
      </w:pPr>
      <w:r>
        <w:rPr>
          <w:bCs/>
          <w:b/>
        </w:rPr>
        <w:t xml:space="preserve">Premium Wellness Bundles:</w:t>
      </w:r>
      <w:r>
        <w:t xml:space="preserve"> </w:t>
      </w:r>
      <w:r>
        <w:t xml:space="preserve">Launching 'Melbourne Pet Health Passport' – a comprehensive annual package combining veterinary visits, pharmacy discounts, and local pet business partnerships (e.g., grooming salons in South Yarra).</w:t>
      </w:r>
    </w:p>
    <w:p>
      <w:pPr>
        <w:numPr>
          <w:ilvl w:val="0"/>
          <w:numId w:val="1002"/>
        </w:numPr>
        <w:pStyle w:val="Compact"/>
      </w:pPr>
      <w:r>
        <w:rPr>
          <w:bCs/>
          <w:b/>
        </w:rPr>
        <w:t xml:space="preserve">Community Partnerships:</w:t>
      </w:r>
      <w:r>
        <w:t xml:space="preserve"> </w:t>
      </w:r>
      <w:r>
        <w:t xml:space="preserve">Collaborating with RSPCA Melbourne and local councils to offer subsidized wellness checks for low-income families, enhancing community goodwill while generating new client leads.</w:t>
      </w:r>
    </w:p>
    <w:bookmarkEnd w:id="29"/>
    <w:bookmarkEnd w:id="30"/>
    <w:bookmarkStart w:id="31" w:name="conclusion-forward-looking-strategy"/>
    <w:p>
      <w:pPr>
        <w:pStyle w:val="Heading2"/>
      </w:pPr>
      <w:r>
        <w:t xml:space="preserve">Conclusion &amp; Forward-Looking Strategy</w:t>
      </w:r>
    </w:p>
    <w:p>
      <w:pPr>
        <w:pStyle w:val="FirstParagraph"/>
      </w:pPr>
      <w:r>
        <w:t xml:space="preserve">The 2022-23 Sales Report confirms Melbourne Pet Care Centre's position as a market leader in Australia Melbourne's veterinary industry, achieving sustainable growth through client-centric service innovation and strategic alignment with local community needs. Our data-driven approach to understanding Melbourne's unique pet ownership patterns has proven instrumental in revenue growth.</w:t>
      </w:r>
    </w:p>
    <w:p>
      <w:pPr>
        <w:pStyle w:val="BodyText"/>
      </w:pPr>
      <w:r>
        <w:t xml:space="preserve">Looking ahead, we will prioritize three key initiatives: 1) Investing $350k AUD in staff retention programs to address Victoria's veterinary workforce challenges, 2) Expanding telehealth services across Greater Melbourne with AI-powered symptom checkers to increase appointment efficiency, and 3) Developing partnerships with Australian pet food manufacturers for exclusive product lines that drive repeat pharmacy revenue. These strategies position us to maintain our competitive edge in Australia Melbourne's rapidly evolving veterinary landscape while fulfilling our core mission: exceptional care for every animal, every day.</w:t>
      </w:r>
    </w:p>
    <w:p>
      <w:pPr>
        <w:pStyle w:val="BodyText"/>
      </w:pPr>
      <w:r>
        <w:rPr>
          <w:bCs/>
          <w:b/>
        </w:rPr>
        <w:t xml:space="preserve">Final Note:</w:t>
      </w:r>
      <w:r>
        <w:t xml:space="preserve"> </w:t>
      </w:r>
      <w:r>
        <w:t xml:space="preserve">This Sales Report underscores that the most successful Veterinarian practices in Australia Melbourne are those that integrate clinical excellence with community-focused business models – a principle we will continue to champion as we grow our practice across Victoria's premier pet care market.</w:t>
      </w:r>
    </w:p>
    <w:bookmarkEnd w:id="31"/>
    <w:p>
      <w:pPr>
        <w:pStyle w:val="BodyText"/>
      </w:pPr>
      <w:r>
        <w:t xml:space="preserve">Melbourne Pet Care Centre | 450 High Street, Southbank | Melbourne VIC 3006</w:t>
      </w:r>
      <w:r>
        <w:br/>
      </w:r>
      <w:r>
        <w:t xml:space="preserve">Annual Sales Report - FY2022-23 | Prepared for Veterinary Practice Management Committee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Melbourne Pet Care Centre</dc:title>
  <dc:creator/>
  <dc:language>en</dc:language>
  <cp:keywords/>
  <dcterms:created xsi:type="dcterms:W3CDTF">2026-07-21T14:38:02Z</dcterms:created>
  <dcterms:modified xsi:type="dcterms:W3CDTF">2026-07-21T14:38:02Z</dcterms:modified>
</cp:coreProperties>
</file>

<file path=docProps/custom.xml><?xml version="1.0" encoding="utf-8"?>
<Properties xmlns="http://schemas.openxmlformats.org/officeDocument/2006/custom-properties" xmlns:vt="http://schemas.openxmlformats.org/officeDocument/2006/docPropsVTypes"/>
</file>