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Sales</w:t>
      </w:r>
      <w:r>
        <w:t xml:space="preserve"> </w:t>
      </w:r>
      <w:r>
        <w:t xml:space="preserve">Report:</w:t>
      </w:r>
      <w:r>
        <w:t xml:space="preserve"> </w:t>
      </w:r>
      <w:r>
        <w:t xml:space="preserve">Belgium</w:t>
      </w:r>
      <w:r>
        <w:t xml:space="preserve"> </w:t>
      </w:r>
      <w:r>
        <w:t xml:space="preserve">Brussels</w:t>
      </w:r>
      <w:r>
        <w:t xml:space="preserve"> </w:t>
      </w:r>
      <w:r>
        <w:t xml:space="preserve">Market</w:t>
      </w:r>
      <w:r>
        <w:t xml:space="preserve"> </w:t>
      </w:r>
      <w:r>
        <w:t xml:space="preserve">Analysis</w:t>
      </w:r>
    </w:p>
    <w:bookmarkStart w:id="26" w:name="X78ec6147382b803645d7f62cbe9e80220e9b58e"/>
    <w:p>
      <w:pPr>
        <w:pStyle w:val="Heading1"/>
      </w:pPr>
      <w:r>
        <w:t xml:space="preserve">Comprehensive Sales Report: Veterinary Services Market Performance in Belgium Brussels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Prepared By:</w:t>
      </w:r>
      <w:r>
        <w:t xml:space="preserve"> </w:t>
      </w:r>
      <w:r>
        <w:t xml:space="preserve">Strategic Sales Intelligence Division</w:t>
      </w:r>
    </w:p>
    <w:bookmarkStart w:id="20" w:name="i.-executive-summary"/>
    <w:p>
      <w:pPr>
        <w:pStyle w:val="Heading2"/>
      </w:pPr>
      <w:r>
        <w:t xml:space="preserve">I. Executive Summary</w:t>
      </w:r>
    </w:p>
    <w:p>
      <w:pPr>
        <w:pStyle w:val="FirstParagraph"/>
      </w:pPr>
      <w:r>
        <w:t xml:space="preserve">This Sales Report provides an in-depth analysis of veterinary service performance across the Brussels-Capital Region, Belgium. The data confirms sustained growth for our practice within the competitive Belgian veterinary market, with a 14.7% year-over-year increase in revenue during Q3 2023. This success is directly attributed to our strategic focus on premium pet care solutions tailored to Brussels' unique urban pet ownership demographics. The report validates our position as a leading</w:t>
      </w:r>
      <w:r>
        <w:t xml:space="preserve"> </w:t>
      </w:r>
      <w:r>
        <w:rPr>
          <w:iCs/>
          <w:i/>
        </w:rPr>
        <w:t xml:space="preserve">Veterinarian</w:t>
      </w:r>
      <w:r>
        <w:t xml:space="preserve"> </w:t>
      </w:r>
      <w:r>
        <w:t xml:space="preserve">service provider in the heart of Belgium Brussels, where we serve over 12,500 active client households.</w:t>
      </w:r>
    </w:p>
    <w:bookmarkEnd w:id="20"/>
    <w:bookmarkStart w:id="21" w:name="ii.-sales-performance-overview"/>
    <w:p>
      <w:pPr>
        <w:pStyle w:val="Heading2"/>
      </w:pPr>
      <w:r>
        <w:t xml:space="preserve">II. Sales Performance Overview</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Revenue (EUR)</w:t>
            </w:r>
          </w:p>
        </w:tc>
        <w:tc>
          <w:tcPr/>
          <w:p>
            <w:pPr>
              <w:pStyle w:val="Compact"/>
              <w:jc w:val="left"/>
            </w:pPr>
            <w:r>
              <w:t xml:space="preserve">€486,500</w:t>
            </w:r>
          </w:p>
        </w:tc>
        <w:tc>
          <w:tcPr/>
          <w:p>
            <w:pPr>
              <w:pStyle w:val="Compact"/>
              <w:jc w:val="left"/>
            </w:pPr>
            <w:r>
              <w:t xml:space="preserve">€424,100</w:t>
            </w:r>
          </w:p>
        </w:tc>
        <w:tc>
          <w:tcPr/>
          <w:p>
            <w:pPr>
              <w:pStyle w:val="Compact"/>
              <w:jc w:val="left"/>
            </w:pPr>
            <w:r>
              <w:t xml:space="preserve">+14.7%</w:t>
            </w:r>
          </w:p>
        </w:tc>
      </w:tr>
      <w:tr>
        <w:tc>
          <w:tcPr/>
          <w:p>
            <w:pPr>
              <w:pStyle w:val="Compact"/>
              <w:jc w:val="left"/>
            </w:pPr>
            <w:r>
              <w:t xml:space="preserve">New Client Acquisitions</w:t>
            </w:r>
          </w:p>
        </w:tc>
        <w:tc>
          <w:tcPr/>
          <w:p>
            <w:pPr>
              <w:pStyle w:val="Compact"/>
              <w:jc w:val="left"/>
            </w:pPr>
            <w:r>
              <w:t xml:space="preserve">327</w:t>
            </w:r>
          </w:p>
        </w:tc>
        <w:tc>
          <w:tcPr/>
          <w:p>
            <w:pPr>
              <w:pStyle w:val="Compact"/>
              <w:jc w:val="left"/>
            </w:pPr>
            <w:r>
              <w:t xml:space="preserve">289</w:t>
            </w:r>
          </w:p>
        </w:tc>
        <w:tc>
          <w:tcPr/>
          <w:p>
            <w:pPr>
              <w:pStyle w:val="Compact"/>
              <w:jc w:val="left"/>
            </w:pPr>
            <w:r>
              <w:t xml:space="preserve">+13.1%</w:t>
            </w:r>
          </w:p>
        </w:tc>
      </w:tr>
      <w:tr>
        <w:tc>
          <w:tcPr/>
          <w:p>
            <w:pPr>
              <w:pStyle w:val="Compact"/>
              <w:jc w:val="left"/>
            </w:pPr>
            <w:r>
              <w:t xml:space="preserve">Avg. Revenue Per Client (RPC)</w:t>
            </w:r>
          </w:p>
        </w:tc>
        <w:tc>
          <w:tcPr/>
          <w:p>
            <w:pPr>
              <w:pStyle w:val="Compact"/>
              <w:jc w:val="left"/>
            </w:pPr>
            <w:r>
              <w:t xml:space="preserve">€4,050</w:t>
            </w:r>
          </w:p>
        </w:tc>
        <w:tc>
          <w:tcPr/>
          <w:p>
            <w:pPr>
              <w:pStyle w:val="Compact"/>
              <w:jc w:val="left"/>
            </w:pPr>
            <w:r>
              <w:t xml:space="preserve">€3,780</w:t>
            </w:r>
          </w:p>
        </w:tc>
        <w:tc>
          <w:tcPr/>
          <w:p>
            <w:pPr>
              <w:pStyle w:val="Compact"/>
              <w:jc w:val="left"/>
            </w:pPr>
            <w:r>
              <w:t xml:space="preserve">+7.2%</w:t>
            </w:r>
          </w:p>
        </w:tc>
      </w:tr>
      <w:tr>
        <w:tc>
          <w:tcPr/>
          <w:p>
            <w:pPr>
              <w:pStyle w:val="Compact"/>
              <w:jc w:val="left"/>
            </w:pPr>
            <w:r>
              <w:t xml:space="preserve">Servicing Capacity Utilization</w:t>
            </w:r>
          </w:p>
        </w:tc>
        <w:tc>
          <w:tcPr/>
          <w:p>
            <w:pPr>
              <w:pStyle w:val="Compact"/>
              <w:jc w:val="left"/>
            </w:pPr>
            <w:r>
              <w:t xml:space="preserve">92%</w:t>
            </w:r>
          </w:p>
        </w:tc>
        <w:tc>
          <w:tcPr/>
          <w:p>
            <w:pPr>
              <w:pStyle w:val="Compact"/>
              <w:jc w:val="left"/>
            </w:pPr>
            <w:r>
              <w:t xml:space="preserve">86%</w:t>
            </w:r>
          </w:p>
        </w:tc>
        <w:tc>
          <w:tcPr/>
          <w:p>
            <w:pPr>
              <w:pStyle w:val="Compact"/>
              <w:jc w:val="left"/>
            </w:pPr>
            <w:r>
              <w:t xml:space="preserve">+6.0 pts</w:t>
            </w:r>
          </w:p>
        </w:tc>
      </w:tr>
    </w:tbl>
    <w:p>
      <w:pPr>
        <w:pStyle w:val="BodyText"/>
      </w:pPr>
      <w:r>
        <w:t xml:space="preserve">The 14.7% revenue growth significantly outperforms the Belgian veterinary industry average of 8.3% (Belgian Veterinary Association, Q3 2023). This momentum stems from our specialized approach to Belgium Brussels' distinct urban pet care needs, particularly in high-density residential zones like Saint-Gilles and Ixelles where pet ownership rates exceed national averages by 22%.</w:t>
      </w:r>
    </w:p>
    <w:bookmarkEnd w:id="21"/>
    <w:bookmarkStart w:id="22" w:name="Xb3531c7d8a1101cc0fa9df030b4e259b1789893"/>
    <w:p>
      <w:pPr>
        <w:pStyle w:val="Heading2"/>
      </w:pPr>
      <w:r>
        <w:t xml:space="preserve">III. Market Analysis: Veterinary Landscape in Belgium Brussels</w:t>
      </w:r>
    </w:p>
    <w:p>
      <w:pPr>
        <w:pStyle w:val="FirstParagraph"/>
      </w:pPr>
      <w:r>
        <w:t xml:space="preserve">Brussels presents a unique veterinary market environment shaped by its status as the EU's administrative capital. Our Sales Report identifies three critical dynamics:</w:t>
      </w:r>
    </w:p>
    <w:p>
      <w:pPr>
        <w:numPr>
          <w:ilvl w:val="0"/>
          <w:numId w:val="1001"/>
        </w:numPr>
        <w:pStyle w:val="Compact"/>
      </w:pPr>
      <w:r>
        <w:rPr>
          <w:bCs/>
          <w:b/>
        </w:rPr>
        <w:t xml:space="preserve">Urbanization Pressure:</w:t>
      </w:r>
      <w:r>
        <w:t xml:space="preserve"> </w:t>
      </w:r>
      <w:r>
        <w:t xml:space="preserve">83% of Brussels residents live in buildings with limited green space, creating demand for specialized in-clinic services (e.g., behavioral consultations, allergy management) rather than mobile care. Our clinic's central location in the European Quarter directly addresses this need.</w:t>
      </w:r>
    </w:p>
    <w:p>
      <w:pPr>
        <w:numPr>
          <w:ilvl w:val="0"/>
          <w:numId w:val="1001"/>
        </w:numPr>
        <w:pStyle w:val="Compact"/>
      </w:pPr>
      <w:r>
        <w:rPr>
          <w:bCs/>
          <w:b/>
        </w:rPr>
        <w:t xml:space="preserve">EU Professional Population:</w:t>
      </w:r>
      <w:r>
        <w:t xml:space="preserve"> </w:t>
      </w:r>
      <w:r>
        <w:t xml:space="preserve">37% of Brussels pet owners work in EU institutions or diplomatic corps, prioritizing premium, multilingual veterinary services. Our bilingual (French/Dutch) staff and EU-compliant medical protocols have driven a 21% increase in this segment.</w:t>
      </w:r>
    </w:p>
    <w:p>
      <w:pPr>
        <w:numPr>
          <w:ilvl w:val="0"/>
          <w:numId w:val="1001"/>
        </w:numPr>
        <w:pStyle w:val="Compact"/>
      </w:pPr>
      <w:r>
        <w:rPr>
          <w:bCs/>
          <w:b/>
        </w:rPr>
        <w:t xml:space="preserve">Regulatory Environment:</w:t>
      </w:r>
      <w:r>
        <w:t xml:space="preserve"> </w:t>
      </w:r>
      <w:r>
        <w:t xml:space="preserve">Belgium's strict animal welfare laws (Law of July 16, 2018) necessitate advanced diagnostic capabilities. Our investment in state-of-the-art ultrasound and telemedicine infrastructure has positioned us as the preferred</w:t>
      </w:r>
      <w:r>
        <w:t xml:space="preserve"> </w:t>
      </w:r>
      <w:r>
        <w:rPr>
          <w:iCs/>
          <w:i/>
        </w:rPr>
        <w:t xml:space="preserve">Veterinarian</w:t>
      </w:r>
      <w:r>
        <w:t xml:space="preserve"> </w:t>
      </w:r>
      <w:r>
        <w:t xml:space="preserve">for complex cases across Belgium Brussels.</w:t>
      </w:r>
    </w:p>
    <w:bookmarkEnd w:id="22"/>
    <w:bookmarkStart w:id="23" w:name="X47bc779aaf75f606a1ba24fefbb1d974c119331"/>
    <w:p>
      <w:pPr>
        <w:pStyle w:val="Heading2"/>
      </w:pPr>
      <w:r>
        <w:t xml:space="preserve">IV. Customer Insights &amp; Service Performance</w:t>
      </w:r>
    </w:p>
    <w:p>
      <w:pPr>
        <w:pStyle w:val="FirstParagraph"/>
      </w:pPr>
      <w:r>
        <w:t xml:space="preserve">The Sales Report reveals compelling client behavior patterns unique to Belgium Brussels:</w:t>
      </w:r>
    </w:p>
    <w:p>
      <w:pPr>
        <w:numPr>
          <w:ilvl w:val="0"/>
          <w:numId w:val="1002"/>
        </w:numPr>
        <w:pStyle w:val="Compact"/>
      </w:pPr>
      <w:r>
        <w:rPr>
          <w:bCs/>
          <w:b/>
        </w:rPr>
        <w:t xml:space="preserve">Premiumization Trend:</w:t>
      </w:r>
      <w:r>
        <w:t xml:space="preserve"> </w:t>
      </w:r>
      <w:r>
        <w:t xml:space="preserve">68% of clients now opt for our premium "Brussels Elite Care" package (€750/year), up from 42% in Q3 2022. This includes emergency coverage, nutritional counseling, and priority booking – addressing urban pet owners' anxiety about access during Brussels' frequent public transport disruptions.</w:t>
      </w:r>
    </w:p>
    <w:p>
      <w:pPr>
        <w:numPr>
          <w:ilvl w:val="0"/>
          <w:numId w:val="1002"/>
        </w:numPr>
        <w:pStyle w:val="Compact"/>
      </w:pPr>
      <w:r>
        <w:rPr>
          <w:bCs/>
          <w:b/>
        </w:rPr>
        <w:t xml:space="preserve">Preventive Care Uptake:</w:t>
      </w:r>
      <w:r>
        <w:t xml:space="preserve"> </w:t>
      </w:r>
      <w:r>
        <w:t xml:space="preserve">Vaccination and parasite control adherence increased by 19% due to targeted campaigns aligning with Brussels' seasonal health alerts (e.g., tick season in Parc de Bruxelles).</w:t>
      </w:r>
    </w:p>
    <w:p>
      <w:pPr>
        <w:numPr>
          <w:ilvl w:val="0"/>
          <w:numId w:val="1002"/>
        </w:numPr>
        <w:pStyle w:val="Compact"/>
      </w:pPr>
      <w:r>
        <w:rPr>
          <w:bCs/>
          <w:b/>
        </w:rPr>
        <w:t xml:space="preserve">Cross-Selling Success:</w:t>
      </w:r>
      <w:r>
        <w:t xml:space="preserve"> </w:t>
      </w:r>
      <w:r>
        <w:t xml:space="preserve">Integration of pet insurance partnerships (with AXA Belgium and Allianz) generated €82,000 in new revenue streams through our clinic's referral program.</w:t>
      </w:r>
    </w:p>
    <w:bookmarkEnd w:id="23"/>
    <w:bookmarkStart w:id="24" w:name="v.-strategic-challenges-opportunities"/>
    <w:p>
      <w:pPr>
        <w:pStyle w:val="Heading2"/>
      </w:pPr>
      <w:r>
        <w:t xml:space="preserve">V. Strategic Challenges &amp; Opportunities</w:t>
      </w:r>
    </w:p>
    <w:p>
      <w:pPr>
        <w:pStyle w:val="FirstParagraph"/>
      </w:pPr>
      <w:r>
        <w:t xml:space="preserve">While performance is strong, our Sales Report identifies two critical challenges specific to the Belgium Brussels market:</w:t>
      </w:r>
    </w:p>
    <w:p>
      <w:pPr>
        <w:numPr>
          <w:ilvl w:val="0"/>
          <w:numId w:val="1003"/>
        </w:numPr>
        <w:pStyle w:val="Compact"/>
      </w:pPr>
      <w:r>
        <w:rPr>
          <w:bCs/>
          <w:b/>
        </w:rPr>
        <w:t xml:space="preserve">Real Estate Constraints:</w:t>
      </w:r>
      <w:r>
        <w:t xml:space="preserve"> </w:t>
      </w:r>
      <w:r>
        <w:t xml:space="preserve">Clinic expansion in central Brussels faces high rental costs (€120/sq.m.) and zoning limitations. Our solution: Implementing a satellite "Brussels Pet Wellness Hub" in nearby Woluwe-Saint-Pierre with telemedicine connectivity to maintain our core Brussels footprint.</w:t>
      </w:r>
    </w:p>
    <w:p>
      <w:pPr>
        <w:numPr>
          <w:ilvl w:val="0"/>
          <w:numId w:val="1003"/>
        </w:numPr>
        <w:pStyle w:val="Compact"/>
      </w:pPr>
      <w:r>
        <w:rPr>
          <w:bCs/>
          <w:b/>
        </w:rPr>
        <w:t xml:space="preserve">Workforce Shortages:</w:t>
      </w:r>
      <w:r>
        <w:t xml:space="preserve"> </w:t>
      </w:r>
      <w:r>
        <w:t xml:space="preserve">28% of veterinary staff vacancies in Belgium Brussels (vs. 19% national average) threaten service consistency. Our response: Partnering with ULiège University for targeted internships and offering relocation packages to attract talent from Flanders.</w:t>
      </w:r>
    </w:p>
    <w:p>
      <w:pPr>
        <w:pStyle w:val="FirstParagraph"/>
      </w:pPr>
      <w:r>
        <w:t xml:space="preserve">Opportunities emerging from this data include:</w:t>
      </w:r>
    </w:p>
    <w:p>
      <w:pPr>
        <w:numPr>
          <w:ilvl w:val="0"/>
          <w:numId w:val="1004"/>
        </w:numPr>
        <w:pStyle w:val="Compact"/>
      </w:pPr>
      <w:r>
        <w:t xml:space="preserve">Developing a "Brussels Urban Pet Insurance" product co-created with EU-based insurers</w:t>
      </w:r>
    </w:p>
    <w:p>
      <w:pPr>
        <w:numPr>
          <w:ilvl w:val="0"/>
          <w:numId w:val="1004"/>
        </w:numPr>
        <w:pStyle w:val="Compact"/>
      </w:pPr>
      <w:r>
        <w:t xml:space="preserve">Leveraging Brussels' biannual "Pet Fest" events for community engagement</w:t>
      </w:r>
    </w:p>
    <w:p>
      <w:pPr>
        <w:numPr>
          <w:ilvl w:val="0"/>
          <w:numId w:val="1004"/>
        </w:numPr>
        <w:pStyle w:val="Compact"/>
      </w:pPr>
      <w:r>
        <w:t xml:space="preserve">Creating an AI-driven pet health monitoring system for apartment-dwelling pets (addressing 74% of our client base in high-rises)</w:t>
      </w:r>
    </w:p>
    <w:bookmarkEnd w:id="24"/>
    <w:bookmarkStart w:id="25" w:name="vi.-conclusion-future-outlook"/>
    <w:p>
      <w:pPr>
        <w:pStyle w:val="Heading2"/>
      </w:pPr>
      <w:r>
        <w:t xml:space="preserve">VI. Conclusion &amp; Future Outlook</w:t>
      </w:r>
    </w:p>
    <w:p>
      <w:pPr>
        <w:pStyle w:val="FirstParagraph"/>
      </w:pPr>
      <w:r>
        <w:t xml:space="preserve">This Sales Report unequivocally demonstrates that our veterinary practice has become a market leader in Belgium Brussels through strategic alignment with the region's specific urban ecology. The 14.7% revenue growth isn't merely a financial milestone – it signifies our deep integration into Brussels' pet care ecosystem as the trusted</w:t>
      </w:r>
      <w:r>
        <w:t xml:space="preserve"> </w:t>
      </w:r>
      <w:r>
        <w:rPr>
          <w:iCs/>
          <w:i/>
        </w:rPr>
        <w:t xml:space="preserve">Veterinarian</w:t>
      </w:r>
      <w:r>
        <w:t xml:space="preserve"> </w:t>
      </w:r>
      <w:r>
        <w:t xml:space="preserve">for its diverse population.</w:t>
      </w:r>
    </w:p>
    <w:p>
      <w:pPr>
        <w:pStyle w:val="BodyText"/>
      </w:pPr>
      <w:r>
        <w:t xml:space="preserve">Looking ahead to Q4 2023, we project sustained momentum with a targeted expansion of our preventive care programs. Our investment in digital health platforms – particularly the new "Brussels Pet Pass" app allowing real-time booking and teleconsultations – is already generating 35% of new client acquisitions. This initiative directly responds to Brussels' high smartphone penetration rate (98%) and urban residents' time sensitivity.</w:t>
      </w:r>
    </w:p>
    <w:p>
      <w:pPr>
        <w:pStyle w:val="BodyText"/>
      </w:pPr>
      <w:r>
        <w:t xml:space="preserve">For Belgium Brussels, veterinary care has evolved beyond clinical service to become a community wellness pillar. Our Sales Report confirms that by embedding our practice within the city's cultural and operational fabric – understanding everything from EU institutional work schedules to apartment building pet policies – we've created an indispensable local service. As the Belgian veterinary market continues its digital transformation, our Brussels operations will serve as the model for urban veterinary excellence across Belgium.</w:t>
      </w:r>
    </w:p>
    <w:p>
      <w:pPr>
        <w:pStyle w:val="BodyText"/>
      </w:pPr>
      <w:r>
        <w:rPr>
          <w:bCs/>
          <w:b/>
        </w:rPr>
        <w:t xml:space="preserve">Recommendation:</w:t>
      </w:r>
      <w:r>
        <w:t xml:space="preserve"> </w:t>
      </w:r>
      <w:r>
        <w:t xml:space="preserve">Allocate 15% of Q4 marketing budget toward expanding telemedicine services specifically designed for Brussels' high-rise dwellers, with pilot launches in Saint-Josse-ten-Noode and Schaerbeek by December 2023.</w:t>
      </w:r>
    </w:p>
    <w:p>
      <w:pPr>
        <w:pStyle w:val="BodyText"/>
      </w:pPr>
      <w:r>
        <w:rPr>
          <w:iCs/>
          <w:i/>
        </w:rPr>
        <w:t xml:space="preserve">This Sales Report is specific to Belgium Brussels operations. All metrics reflect localized market conditions in the Brussels-Capital Region, Belgium.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Sales Report: Belgium Brussels Market Analysis</dc:title>
  <dc:creator/>
  <dc:language>en</dc:language>
  <cp:keywords/>
  <dcterms:created xsi:type="dcterms:W3CDTF">2025-12-11T08:09:26Z</dcterms:created>
  <dcterms:modified xsi:type="dcterms:W3CDTF">2025-12-11T08:09:26Z</dcterms:modified>
</cp:coreProperties>
</file>

<file path=docProps/custom.xml><?xml version="1.0" encoding="utf-8"?>
<Properties xmlns="http://schemas.openxmlformats.org/officeDocument/2006/custom-properties" xmlns:vt="http://schemas.openxmlformats.org/officeDocument/2006/docPropsVTypes"/>
</file>