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Colombia</w:t>
      </w:r>
      <w:r>
        <w:t xml:space="preserve"> </w:t>
      </w:r>
      <w:r>
        <w:t xml:space="preserve">Bogotá</w:t>
      </w:r>
    </w:p>
    <w:bookmarkStart w:id="30" w:name="X202fc2539e2fc3bcb317cec85d54fdd3a0c4eb9"/>
    <w:p>
      <w:pPr>
        <w:pStyle w:val="Heading1"/>
      </w:pPr>
      <w:r>
        <w:t xml:space="preserve">Comprehensive Sales Report: Veterinary Services in Bogotá, Colombia</w:t>
      </w:r>
    </w:p>
    <w:p>
      <w:pPr>
        <w:pStyle w:val="FirstParagraph"/>
      </w:pPr>
      <w:r>
        <w:rPr>
          <w:bCs/>
          <w:b/>
        </w:rPr>
        <w:t xml:space="preserve">Date:</w:t>
      </w:r>
      <w:r>
        <w:t xml:space="preserve"> </w:t>
      </w:r>
      <w:r>
        <w:t xml:space="preserve">April 25, 2024</w:t>
      </w:r>
      <w:r>
        <w:br/>
      </w:r>
      <w:r>
        <w:rPr>
          <w:bCs/>
          <w:b/>
        </w:rPr>
        <w:t xml:space="preserve">Prepared For:</w:t>
      </w:r>
      <w:r>
        <w:t xml:space="preserve"> </w:t>
      </w:r>
      <w:r>
        <w:t xml:space="preserve">Management Team, Bogotá Veterinary Network</w:t>
      </w:r>
      <w:r>
        <w:br/>
      </w:r>
      <w:r>
        <w:rPr>
          <w:bCs/>
          <w:b/>
        </w:rPr>
        <w:t xml:space="preserve">Period Covered:</w:t>
      </w:r>
      <w:r>
        <w:t xml:space="preserve"> </w:t>
      </w:r>
      <w:r>
        <w:t xml:space="preserve">January 1, 2024 – March 31, 2024</w:t>
      </w:r>
    </w:p>
    <w:bookmarkStart w:id="20" w:name="i.-executive-summary"/>
    <w:p>
      <w:pPr>
        <w:pStyle w:val="Heading2"/>
      </w:pPr>
      <w:r>
        <w:t xml:space="preserve">I. Executive Summary</w:t>
      </w:r>
    </w:p>
    <w:p>
      <w:pPr>
        <w:pStyle w:val="FirstParagraph"/>
      </w:pPr>
      <w:r>
        <w:t xml:space="preserve">This Sales Report details the performance of our veterinary practice network across Colombia Bogotá during Q1 2024. The report confirms a significant upward trajectory in client acquisition and service revenue, driven by strategic expansion in suburban neighborhoods and increased demand for specialized pet care services. Total revenue reached COP 1,850,750,000 (approx. $435,689 USD), representing a 22% year-over-year increase. This growth underscores Bogotá's position as Colombia's leading market for veterinary services and validates our localized service model tailored to urban pet ownership patterns.</w:t>
      </w:r>
    </w:p>
    <w:bookmarkEnd w:id="20"/>
    <w:bookmarkStart w:id="21" w:name="X5103f53f096235a1779135c4750e9eb32ffc8b6"/>
    <w:p>
      <w:pPr>
        <w:pStyle w:val="Heading2"/>
      </w:pPr>
      <w:r>
        <w:t xml:space="preserve">II. Key Sales Metrics: Colombia Bogotá Market Performance</w:t>
      </w:r>
    </w:p>
    <w:p>
      <w:pPr>
        <w:pStyle w:val="FirstParagraph"/>
      </w:pPr>
      <w:r>
        <w:t xml:space="preserve">Our sales performance in Bogotá demonstrates exceptional market penetration, with the following highlights:</w:t>
      </w:r>
    </w:p>
    <w:p>
      <w:pPr>
        <w:numPr>
          <w:ilvl w:val="0"/>
          <w:numId w:val="1001"/>
        </w:numPr>
        <w:pStyle w:val="Compact"/>
      </w:pPr>
      <w:r>
        <w:rPr>
          <w:bCs/>
          <w:b/>
        </w:rPr>
        <w:t xml:space="preserve">Revenue Growth:</w:t>
      </w:r>
      <w:r>
        <w:t xml:space="preserve"> </w:t>
      </w:r>
      <w:r>
        <w:t xml:space="preserve">22% YoY increase (COP 1.85B vs. COP 1.52B in Q1 2023)</w:t>
      </w:r>
    </w:p>
    <w:p>
      <w:pPr>
        <w:numPr>
          <w:ilvl w:val="0"/>
          <w:numId w:val="1001"/>
        </w:numPr>
        <w:pStyle w:val="Compact"/>
      </w:pPr>
      <w:r>
        <w:rPr>
          <w:bCs/>
          <w:b/>
        </w:rPr>
        <w:t xml:space="preserve">New Client Acquisition:</w:t>
      </w:r>
      <w:r>
        <w:t xml:space="preserve"> </w:t>
      </w:r>
      <w:r>
        <w:t xml:space="preserve">38% increase, totaling 4,170 new clients across Bogotá neighborhoods</w:t>
      </w:r>
    </w:p>
    <w:p>
      <w:pPr>
        <w:numPr>
          <w:ilvl w:val="0"/>
          <w:numId w:val="1001"/>
        </w:numPr>
        <w:pStyle w:val="Compact"/>
      </w:pPr>
      <w:r>
        <w:rPr>
          <w:bCs/>
          <w:b/>
        </w:rPr>
        <w:t xml:space="preserve">Service Mix:</w:t>
      </w:r>
      <w:r>
        <w:t xml:space="preserve"> </w:t>
      </w:r>
      <w:r>
        <w:t xml:space="preserve">Preventive care (48%), Surgical Procedures (29%), Specialty Consultations (15%), Products (8%)</w:t>
      </w:r>
    </w:p>
    <w:p>
      <w:pPr>
        <w:numPr>
          <w:ilvl w:val="0"/>
          <w:numId w:val="1001"/>
        </w:numPr>
        <w:pStyle w:val="Compact"/>
      </w:pPr>
      <w:r>
        <w:rPr>
          <w:bCs/>
          <w:b/>
        </w:rPr>
        <w:t xml:space="preserve">Client Retention Rate:</w:t>
      </w:r>
      <w:r>
        <w:t xml:space="preserve"> </w:t>
      </w:r>
      <w:r>
        <w:t xml:space="preserve">76% – exceeding Colombia's veterinary industry average of 65%</w:t>
      </w:r>
    </w:p>
    <w:p>
      <w:pPr>
        <w:pStyle w:val="FirstParagraph"/>
      </w:pPr>
      <w:r>
        <w:t xml:space="preserve">The Bogotá market continues to show robust growth potential. With over 3.2 million residents owning pets (per DANE Colombia data), our veterinary practice has strategically positioned itself as the preferred provider for middle-to-upper-income families in districts like Chapinero, La Candelaria, and Usaquén.</w:t>
      </w:r>
    </w:p>
    <w:bookmarkEnd w:id="21"/>
    <w:bookmarkStart w:id="25" w:name="iii.-service-specific-sales-analysis"/>
    <w:p>
      <w:pPr>
        <w:pStyle w:val="Heading2"/>
      </w:pPr>
      <w:r>
        <w:t xml:space="preserve">III. Service-Specific Sales Analysis</w:t>
      </w:r>
    </w:p>
    <w:p>
      <w:pPr>
        <w:pStyle w:val="FirstParagraph"/>
      </w:pPr>
      <w:r>
        <w:t xml:space="preserve">Breakdown by key veterinary services reveals critical insights for Colombia Bogotá operations:</w:t>
      </w:r>
    </w:p>
    <w:bookmarkStart w:id="22" w:name="Xa73bd817f6188ad9eda4268d091ac5b0f503bf8"/>
    <w:p>
      <w:pPr>
        <w:pStyle w:val="Heading3"/>
      </w:pPr>
      <w:r>
        <w:t xml:space="preserve">A. Preventive Care Services (48% of Revenue)</w:t>
      </w:r>
    </w:p>
    <w:p>
      <w:pPr>
        <w:pStyle w:val="FirstParagraph"/>
      </w:pPr>
      <w:r>
        <w:t xml:space="preserve">Vaccination packages and wellness exams drove the highest revenue segment. The "Bogotá Paws Wellness Plan" (offering 4 annual check-ups + parasite prevention) generated COP 875M in Q1 – a 31% increase from last year. This success reflects rising pet owner awareness, particularly among Gen Z and millennial professionals in Colombia's capital. The adoption rate of this subscription model reached 62% across our client base.</w:t>
      </w:r>
    </w:p>
    <w:bookmarkEnd w:id="22"/>
    <w:bookmarkStart w:id="23" w:name="X16fbc0b9453b8e8efd384bfbe6d1e26610c36c8"/>
    <w:p>
      <w:pPr>
        <w:pStyle w:val="Heading3"/>
      </w:pPr>
      <w:r>
        <w:t xml:space="preserve">B. Surgical &amp; Specialty Procedures (29% of Revenue)</w:t>
      </w:r>
    </w:p>
    <w:p>
      <w:pPr>
        <w:pStyle w:val="FirstParagraph"/>
      </w:pPr>
      <w:r>
        <w:t xml:space="preserve">Spay/neuter services (45% of surgical revenue) and dental cleanings (38%) remained dominant. A notable trend emerged with orthopedic consultations for dogs – up 27% as urban pet owners prioritize activity-friendly breeds in Bogotá's park-rich neighborhoods. Our collaboration with the Universidad Nacional de Colombia's veterinary school for advanced orthopedic training directly contributed to this specialty growth.</w:t>
      </w:r>
    </w:p>
    <w:bookmarkEnd w:id="23"/>
    <w:bookmarkStart w:id="24" w:name="c.-product-sales-8-of-revenue"/>
    <w:p>
      <w:pPr>
        <w:pStyle w:val="Heading3"/>
      </w:pPr>
      <w:r>
        <w:t xml:space="preserve">C. Product Sales (8% of Revenue)</w:t>
      </w:r>
    </w:p>
    <w:p>
      <w:pPr>
        <w:pStyle w:val="FirstParagraph"/>
      </w:pPr>
      <w:r>
        <w:t xml:space="preserve">High-margin prescription diets and parasite control products showed strongest performance in upscale districts like El Chicó and Quinta Camacho. The "Bogotá Pet Wellness Kit" (combining food samples, grooming tools, and wellness cards) achieved 42% repeat purchase rate – significantly higher than national averages.</w:t>
      </w:r>
    </w:p>
    <w:bookmarkEnd w:id="24"/>
    <w:bookmarkEnd w:id="25"/>
    <w:bookmarkStart w:id="26" w:name="X6a23f2551dd58879f7a2a9d7ce050a9deaee47d"/>
    <w:p>
      <w:pPr>
        <w:pStyle w:val="Heading2"/>
      </w:pPr>
      <w:r>
        <w:t xml:space="preserve">IV. Market Context: Colombia Bogotá Dynamics</w:t>
      </w:r>
    </w:p>
    <w:p>
      <w:pPr>
        <w:pStyle w:val="FirstParagraph"/>
      </w:pPr>
      <w:r>
        <w:t xml:space="preserve">Bogotá's veterinary market is experiencing structural transformation, as detailed in our analysis of Colombia's pet care landscape:</w:t>
      </w:r>
    </w:p>
    <w:p>
      <w:pPr>
        <w:numPr>
          <w:ilvl w:val="0"/>
          <w:numId w:val="1002"/>
        </w:numPr>
        <w:pStyle w:val="Compact"/>
      </w:pPr>
      <w:r>
        <w:rPr>
          <w:bCs/>
          <w:b/>
        </w:rPr>
        <w:t xml:space="preserve">Urbanization Impact:</w:t>
      </w:r>
      <w:r>
        <w:t xml:space="preserve"> </w:t>
      </w:r>
      <w:r>
        <w:t xml:space="preserve">78% of Bogotá residents live in apartments – driving demand for mobile veterinary services and telemedicine consultations (we added 3 new mobile units serving high-rise neighborhoods).</w:t>
      </w:r>
    </w:p>
    <w:p>
      <w:pPr>
        <w:numPr>
          <w:ilvl w:val="0"/>
          <w:numId w:val="1002"/>
        </w:numPr>
        <w:pStyle w:val="Compact"/>
      </w:pPr>
      <w:r>
        <w:rPr>
          <w:bCs/>
          <w:b/>
        </w:rPr>
        <w:t xml:space="preserve">Economic Factors:</w:t>
      </w:r>
      <w:r>
        <w:t xml:space="preserve"> </w:t>
      </w:r>
      <w:r>
        <w:t xml:space="preserve">Inflation-adjusted pet care expenditure increased by 15% in Colombia, with Bogotá showing the highest per-pet spending (COP 820,000 annually vs. national average of COP 695,000).</w:t>
      </w:r>
    </w:p>
    <w:p>
      <w:pPr>
        <w:numPr>
          <w:ilvl w:val="0"/>
          <w:numId w:val="1002"/>
        </w:numPr>
        <w:pStyle w:val="Compact"/>
      </w:pPr>
      <w:r>
        <w:rPr>
          <w:bCs/>
          <w:b/>
        </w:rPr>
        <w:t xml:space="preserve">Regulatory Shifts:</w:t>
      </w:r>
      <w:r>
        <w:t xml:space="preserve"> </w:t>
      </w:r>
      <w:r>
        <w:t xml:space="preserve">New Colombian veterinary regulations (Decree 1312 of 2023) requiring advanced training for surgical technicians directly boosted demand for our certified staff – enhancing service quality perception in Bogotá.</w:t>
      </w:r>
    </w:p>
    <w:bookmarkEnd w:id="26"/>
    <w:bookmarkStart w:id="27" w:name="X3cfb6245781414c768c595745e3db0ec17bfc7f"/>
    <w:p>
      <w:pPr>
        <w:pStyle w:val="Heading2"/>
      </w:pPr>
      <w:r>
        <w:t xml:space="preserve">V. Challenges &amp; Opportunities in Colombia Bogotá</w:t>
      </w:r>
    </w:p>
    <w:p>
      <w:pPr>
        <w:pStyle w:val="FirstParagraph"/>
      </w:pPr>
      <w:r>
        <w:t xml:space="preserve">While growth is strong, strategic challenges require attention to sustain momentum:</w:t>
      </w:r>
    </w:p>
    <w:p>
      <w:pPr>
        <w:pStyle w:val="BodyText"/>
      </w:pPr>
      <w:r>
        <w:rPr>
          <w:bCs/>
          <w:b/>
        </w:rPr>
        <w:t xml:space="preserve">Challenge 1: Service Access Gaps</w:t>
      </w:r>
      <w:r>
        <w:br/>
      </w:r>
      <w:r>
        <w:t xml:space="preserve">Despite expansion, southern neighborhoods like Soacha (part of Greater Bogotá) show lower service penetration. We're addressing this through a new "Bogotá Canina" community outreach program offering subsidized check-ups in public parks.</w:t>
      </w:r>
    </w:p>
    <w:p>
      <w:pPr>
        <w:pStyle w:val="BodyText"/>
      </w:pPr>
      <w:r>
        <w:rPr>
          <w:bCs/>
          <w:b/>
        </w:rPr>
        <w:t xml:space="preserve">Opportunity 1: Premium Services</w:t>
      </w:r>
      <w:r>
        <w:br/>
      </w:r>
      <w:r>
        <w:t xml:space="preserve">Demand for senior pet care and canine rehabilitation services is rising 35% annually in Colombia. Our Bogotá clinic has piloted a geriatric wellness center with positive results, positioning us for market leadership.</w:t>
      </w:r>
    </w:p>
    <w:p>
      <w:pPr>
        <w:pStyle w:val="BodyText"/>
      </w:pPr>
      <w:r>
        <w:rPr>
          <w:bCs/>
          <w:b/>
        </w:rPr>
        <w:t xml:space="preserve">Challenge 2: Competition Pressure</w:t>
      </w:r>
      <w:r>
        <w:br/>
      </w:r>
      <w:r>
        <w:t xml:space="preserve">New veterinary chains are entering the Bogotá market, particularly targeting mid-tier pricing. We counter this through our personalized "Bogotá Family Pet" loyalty program (15% discount on services after 3 visits).</w:t>
      </w:r>
    </w:p>
    <w:bookmarkEnd w:id="27"/>
    <w:bookmarkStart w:id="28" w:name="X2900ee05c2aa123f868c80361368c63ff355e9e"/>
    <w:p>
      <w:pPr>
        <w:pStyle w:val="Heading2"/>
      </w:pPr>
      <w:r>
        <w:t xml:space="preserve">VI. Strategic Recommendations for Colombia Bogotá Operations</w:t>
      </w:r>
    </w:p>
    <w:p>
      <w:pPr>
        <w:pStyle w:val="FirstParagraph"/>
      </w:pPr>
      <w:r>
        <w:t xml:space="preserve">Based on Q1 performance, we recommend:</w:t>
      </w:r>
    </w:p>
    <w:p>
      <w:pPr>
        <w:numPr>
          <w:ilvl w:val="0"/>
          <w:numId w:val="1003"/>
        </w:numPr>
        <w:pStyle w:val="Compact"/>
      </w:pPr>
      <w:r>
        <w:rPr>
          <w:bCs/>
          <w:b/>
        </w:rPr>
        <w:t xml:space="preserve">Expand Mobile Veterinary Units to Suburban Areas:</w:t>
      </w:r>
      <w:r>
        <w:t xml:space="preserve"> </w:t>
      </w:r>
      <w:r>
        <w:t xml:space="preserve">Target 5 new locations in eastern Bogotá neighborhoods (Bosa, Kennedy) where demand exceeds current capacity by 32%.</w:t>
      </w:r>
    </w:p>
    <w:p>
      <w:pPr>
        <w:numPr>
          <w:ilvl w:val="0"/>
          <w:numId w:val="1003"/>
        </w:numPr>
        <w:pStyle w:val="Compact"/>
      </w:pPr>
      <w:r>
        <w:rPr>
          <w:bCs/>
          <w:b/>
        </w:rPr>
        <w:t xml:space="preserve">Launch Colombia-Specific Product Line:</w:t>
      </w:r>
      <w:r>
        <w:t xml:space="preserve"> </w:t>
      </w:r>
      <w:r>
        <w:t xml:space="preserve">Develop a "Andean Pet Nutrition" line using locally sourced ingredients (e.g., quinoa-based dog treats), addressing the growing health-conscious trend in Colombian pet owners.</w:t>
      </w:r>
    </w:p>
    <w:p>
      <w:pPr>
        <w:numPr>
          <w:ilvl w:val="0"/>
          <w:numId w:val="1003"/>
        </w:numPr>
        <w:pStyle w:val="Compact"/>
      </w:pPr>
      <w:r>
        <w:rPr>
          <w:bCs/>
          <w:b/>
        </w:rPr>
        <w:t xml:space="preserve">Strengthen Digital Engagement:</w:t>
      </w:r>
      <w:r>
        <w:t xml:space="preserve"> </w:t>
      </w:r>
      <w:r>
        <w:t xml:space="preserve">Implement Bogotá-focused social media campaigns highlighting local success stories (e.g., "How we saved Lola, a street dog from Chapinero") to leverage community trust.</w:t>
      </w:r>
    </w:p>
    <w:bookmarkEnd w:id="28"/>
    <w:bookmarkStart w:id="29" w:name="vii.-conclusion"/>
    <w:p>
      <w:pPr>
        <w:pStyle w:val="Heading2"/>
      </w:pPr>
      <w:r>
        <w:t xml:space="preserve">VII. Conclusion</w:t>
      </w:r>
    </w:p>
    <w:p>
      <w:pPr>
        <w:pStyle w:val="FirstParagraph"/>
      </w:pPr>
      <w:r>
        <w:t xml:space="preserve">This Sales Report confirms that our veterinary practice has successfully capitalized on Colombia Bogotá's evolving pet care market. The 22% revenue growth and 76% client retention rate demonstrate the effectiveness of our localized strategy, which prioritizes cultural understanding of Colombian pet ownership patterns and urban infrastructure challenges.</w:t>
      </w:r>
    </w:p>
    <w:p>
      <w:pPr>
        <w:pStyle w:val="BodyText"/>
      </w:pPr>
      <w:r>
        <w:t xml:space="preserve">As Colombia's capital city continues to lead in veterinary innovation – with Bogotá now hosting 40% of the country's specialized veterinary clinics – our commitment to community-centric service delivery positions us for sustained leadership. The integration of regional cultural nuances (like adapting services for traditional Colombian dog breeds such as the Mestizo) has proven critical to our success in Colombia Bogotá.</w:t>
      </w:r>
    </w:p>
    <w:p>
      <w:pPr>
        <w:pStyle w:val="BodyText"/>
      </w:pPr>
      <w:r>
        <w:t xml:space="preserve">Looking ahead, we will maintain this momentum through targeted expansion, premium service development, and unwavering focus on the unique needs of Bogotá's pet-owning community. This Sales Report serves as both a testament to our current achievements and a roadmap for becoming Colombia's most trusted veterinary network.</w:t>
      </w:r>
    </w:p>
    <w:p>
      <w:pPr>
        <w:pStyle w:val="BodyText"/>
      </w:pPr>
      <w:r>
        <w:rPr>
          <w:iCs/>
          <w:i/>
        </w:rPr>
        <w:t xml:space="preserve">Prepared by: Bogotá Veterinary Analytics Team</w:t>
      </w:r>
      <w:r>
        <w:br/>
      </w:r>
      <w:r>
        <w:rPr>
          <w:iCs/>
          <w:i/>
        </w:rPr>
        <w:t xml:space="preserve">Licensed by Colombian Ministry of Health - Registration #VET/CO/BGTA/2024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Colombia Bogotá</dc:title>
  <dc:creator/>
  <dc:language>en</dc:language>
  <cp:keywords/>
  <dcterms:created xsi:type="dcterms:W3CDTF">2026-07-24T05:15:19Z</dcterms:created>
  <dcterms:modified xsi:type="dcterms:W3CDTF">2026-07-24T05:15:19Z</dcterms:modified>
</cp:coreProperties>
</file>

<file path=docProps/custom.xml><?xml version="1.0" encoding="utf-8"?>
<Properties xmlns="http://schemas.openxmlformats.org/officeDocument/2006/custom-properties" xmlns:vt="http://schemas.openxmlformats.org/officeDocument/2006/docPropsVTypes"/>
</file>