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Veterinary</w:t>
      </w:r>
      <w:r>
        <w:t xml:space="preserve"> </w:t>
      </w:r>
      <w:r>
        <w:t xml:space="preserve">Practice</w:t>
      </w:r>
      <w:r>
        <w:t xml:space="preserve"> </w:t>
      </w:r>
      <w:r>
        <w:t xml:space="preserve">Frankfurt,</w:t>
      </w:r>
      <w:r>
        <w:t xml:space="preserve"> </w:t>
      </w:r>
      <w:r>
        <w:t xml:space="preserve">Germany</w:t>
      </w:r>
    </w:p>
    <w:bookmarkStart w:id="30" w:name="X31b103461fc1eae5df06136dbcda2576294b9c3"/>
    <w:p>
      <w:pPr>
        <w:pStyle w:val="Heading1"/>
      </w:pPr>
      <w:r>
        <w:t xml:space="preserve">ANNUAL SALES REPORT: FRANKFURT VETERINARY PRACTICE - GERMANY</w:t>
      </w:r>
    </w:p>
    <w:bookmarkStart w:id="20" w:name="executive-summary"/>
    <w:p>
      <w:pPr>
        <w:pStyle w:val="Heading2"/>
      </w:pPr>
      <w:r>
        <w:t xml:space="preserve">Executive Summary</w:t>
      </w:r>
    </w:p>
    <w:p>
      <w:pPr>
        <w:pStyle w:val="FirstParagraph"/>
      </w:pPr>
      <w:r>
        <w:t xml:space="preserve">This comprehensive Sales Report details the performance of our veterinary practice, "Frankfurt Animal Care Center," operating in Germany's financial hub, Frankfurt am Main. Covering the period from January 1 to December 31, 2023, this document provides critical insights into revenue streams, market positioning, and strategic opportunities specific to the Frankfurt veterinary landscape. With a growing pet population and rising demand for specialized animal healthcare in Germany's most populous metropolitan area, our practice achieved a remarkable 18% year-over-year revenue growth. This report confirms our leadership position as one of Frankfurt's most trusted Veterinary institutions while highlighting strategic priorities for continued expansion within the German market.</w:t>
      </w:r>
    </w:p>
    <w:p>
      <w:pPr>
        <w:pStyle w:val="BodyText"/>
      </w:pPr>
      <w:r>
        <w:rPr>
          <w:bCs/>
          <w:b/>
        </w:rPr>
        <w:t xml:space="preserve">Key Achievement:</w:t>
      </w:r>
      <w:r>
        <w:t xml:space="preserve"> </w:t>
      </w:r>
      <w:r>
        <w:t xml:space="preserve">Surpassed €2.15 million in annual sales, representing a 18.3% increase from 2022, driven by specialized services and strong community engagement across Germany's largest urban center.</w:t>
      </w:r>
    </w:p>
    <w:bookmarkEnd w:id="20"/>
    <w:bookmarkStart w:id="21" w:name="X62c446fa2699b426059ccffad1689d1361ee988"/>
    <w:p>
      <w:pPr>
        <w:pStyle w:val="Heading2"/>
      </w:pPr>
      <w:r>
        <w:t xml:space="preserve">Market Context: Veterinary Industry Dynamics in Germany Frankfurt</w:t>
      </w:r>
    </w:p>
    <w:p>
      <w:pPr>
        <w:pStyle w:val="FirstParagraph"/>
      </w:pPr>
      <w:r>
        <w:t xml:space="preserve">Frankfurt's unique position as Europe's financial capital creates a distinctive veterinary market. Our data reveals that 67% of our clients reside in the Frankfurt metropolitan area, reflecting Germany's highest pet ownership density (1.3 pets per household) among major German cities. The German Federal Ministry of Food and Agriculture reports that pet healthcare expenditure in urban centers like Frankfurt grew at 7.2% annually – significantly outpacing national averages. This trend is amplified by Frankfurt's international community (38% of residents foreign-born), where premium veterinary services are highly valued.</w:t>
      </w:r>
    </w:p>
    <w:p>
      <w:pPr>
        <w:pStyle w:val="BodyText"/>
      </w:pPr>
      <w:r>
        <w:t xml:space="preserve">Crucially, Germany's stringent animal welfare regulations and advanced pet insurance penetration (45% coverage rate in Hesse state) have elevated service expectations. Unlike rural German practices, our Frankfurt operations must deliver 24/7 emergency care, multilingual support (English, Turkish, Arabic), and digital health records – all while maintaining strict compliance with the German Veterinary Medical Association (KtB) standards.</w:t>
      </w:r>
    </w:p>
    <w:bookmarkEnd w:id="21"/>
    <w:bookmarkStart w:id="25" w:name="X9bcdfc5c9b07962a9939130268d246969fe8b21"/>
    <w:p>
      <w:pPr>
        <w:pStyle w:val="Heading2"/>
      </w:pPr>
      <w:r>
        <w:t xml:space="preserve">Revenue Stream Analysis: Service Breakdown</w:t>
      </w:r>
    </w:p>
    <w:p>
      <w:pPr>
        <w:pStyle w:val="FirstParagraph"/>
      </w:pPr>
      <w:r>
        <w:t xml:space="preserve">Our sales performance is driven by three core service pillars, each reflecting Frankfurt's sophisticated market demands:</w:t>
      </w:r>
    </w:p>
    <w:bookmarkStart w:id="22" w:name="X0bac49336b5c6725651bb13a9d26c6362f147cf"/>
    <w:p>
      <w:pPr>
        <w:pStyle w:val="Heading3"/>
      </w:pPr>
      <w:r>
        <w:t xml:space="preserve">1. Preventive Care &amp; Consultations (42% of Revenue)</w:t>
      </w:r>
    </w:p>
    <w:p>
      <w:pPr>
        <w:pStyle w:val="FirstParagraph"/>
      </w:pPr>
      <w:r>
        <w:t xml:space="preserve">This segment grew 15.7% year-over-year, fueled by Frankfurt's rising awareness of proactive healthcare. Our "Frankfurt Family Wellness Packages" for dogs/cats (including annual vaccines, dental checks, and nutrition counseling) achieved 89% client retention. Notably, demand for German-language wellness programs increased by 32% among local residents – a critical differentiator in a multilingual city like Frankfurt.</w:t>
      </w:r>
    </w:p>
    <w:bookmarkEnd w:id="22"/>
    <w:bookmarkStart w:id="23" w:name="X721bf07e8c6e99b7e8bc1bd8357adfe8ea9751a"/>
    <w:p>
      <w:pPr>
        <w:pStyle w:val="Heading3"/>
      </w:pPr>
      <w:r>
        <w:t xml:space="preserve">2. Specialized Medical Procedures (35% of Revenue)</w:t>
      </w:r>
    </w:p>
    <w:p>
      <w:pPr>
        <w:pStyle w:val="FirstParagraph"/>
      </w:pPr>
      <w:r>
        <w:t xml:space="preserve">Orthopedic surgeries, cardiology services, and oncology treatments generated €750,100 in revenue – a 24.1% jump from 2022. This growth directly correlates with Frankfurt's aging pet population (average age: 8.7 years) and rising cases of lifestyle-related conditions common in urban dogs (e.g., obesity, joint disorders). Our partnership with Frankfurt University's Veterinary Clinic for advanced diagnostics has been pivotal.</w:t>
      </w:r>
    </w:p>
    <w:bookmarkEnd w:id="23"/>
    <w:bookmarkStart w:id="24" w:name="Xfd6dc70006283b08b2bff63c1b818f7cb384c67"/>
    <w:p>
      <w:pPr>
        <w:pStyle w:val="Heading3"/>
      </w:pPr>
      <w:r>
        <w:t xml:space="preserve">3. Pharmaceutical &amp; Product Sales (23% of Revenue)</w:t>
      </w:r>
    </w:p>
    <w:p>
      <w:pPr>
        <w:pStyle w:val="FirstParagraph"/>
      </w:pPr>
      <w:r>
        <w:t xml:space="preserve">Revenue increased by 19.4% as pet owners increasingly purchase prescription diets and preventive medications through our clinic. The introduction of Germany's new "Pet Pharmacy" compliance framework in 2023 boosted confidence in our in-house dispensary. Notably, sales of joint supplements (e.g., glucosamine) rose 41% – reflecting Frankfurt's high-activity pet lifestyle.</w:t>
      </w:r>
    </w:p>
    <w:bookmarkEnd w:id="24"/>
    <w:bookmarkEnd w:id="25"/>
    <w:bookmarkStart w:id="26" w:name="X0a20269b8f6e42d0fb874af9c12b1fd5330e027"/>
    <w:p>
      <w:pPr>
        <w:pStyle w:val="Heading2"/>
      </w:pPr>
      <w:r>
        <w:t xml:space="preserve">Competitive Positioning in Germany's Frankfurt Market</w:t>
      </w:r>
    </w:p>
    <w:p>
      <w:pPr>
        <w:pStyle w:val="FirstParagraph"/>
      </w:pPr>
      <w:r>
        <w:t xml:space="preserve">Frankfurt's veterinary landscape features three key competitor clusters: large corporate chains (e.g., Tierärztezentrum), independent clinics, and specialized practices. Our strategic advantage lies in integrating German regulatory compliance with hyper-localized service:</w:t>
      </w:r>
    </w:p>
    <w:p>
      <w:pPr>
        <w:numPr>
          <w:ilvl w:val="0"/>
          <w:numId w:val="1001"/>
        </w:numPr>
        <w:pStyle w:val="Compact"/>
      </w:pPr>
      <w:r>
        <w:rPr>
          <w:bCs/>
          <w:b/>
        </w:rPr>
        <w:t xml:space="preserve">Technology Edge:</w:t>
      </w:r>
      <w:r>
        <w:t xml:space="preserve"> </w:t>
      </w:r>
      <w:r>
        <w:t xml:space="preserve">Our proprietary "Frankfurt PetConnect" app (used by 68% of clients) provides real-time appointment booking, digital records compliant with Germany's GDPR standards, and telehealth consultations – a feature unmatched by 73% of local competitors.</w:t>
      </w:r>
    </w:p>
    <w:p>
      <w:pPr>
        <w:numPr>
          <w:ilvl w:val="0"/>
          <w:numId w:val="1001"/>
        </w:numPr>
        <w:pStyle w:val="Compact"/>
      </w:pPr>
      <w:r>
        <w:rPr>
          <w:bCs/>
          <w:b/>
        </w:rPr>
        <w:t xml:space="preserve">Community Integration:</w:t>
      </w:r>
      <w:r>
        <w:t xml:space="preserve"> </w:t>
      </w:r>
      <w:r>
        <w:t xml:space="preserve">Partnering with Frankfurt's international schools and expat associations (e.g., "Frankfurt International Families") increased our client base among foreign residents by 29% in 2023.</w:t>
      </w:r>
    </w:p>
    <w:p>
      <w:pPr>
        <w:numPr>
          <w:ilvl w:val="0"/>
          <w:numId w:val="1001"/>
        </w:numPr>
        <w:pStyle w:val="Compact"/>
      </w:pPr>
      <w:r>
        <w:rPr>
          <w:bCs/>
          <w:b/>
        </w:rPr>
        <w:t xml:space="preserve">Regulatory Mastery:</w:t>
      </w:r>
      <w:r>
        <w:t xml:space="preserve"> </w:t>
      </w:r>
      <w:r>
        <w:t xml:space="preserve">Unlike competitors struggling with Germany's complex pet insurance billing systems, we achieved a 98.7% claim approval rate through specialized training for our billing team in Frankfurt.</w:t>
      </w:r>
    </w:p>
    <w:p>
      <w:pPr>
        <w:pStyle w:val="FirstParagraph"/>
      </w:pPr>
      <w:r>
        <w:t xml:space="preserve">This positioning has enabled us to capture 27% of Frankfurt's premium veterinary market – the highest share among independent practices in Germany.</w:t>
      </w:r>
    </w:p>
    <w:bookmarkEnd w:id="26"/>
    <w:bookmarkStart w:id="27" w:name="X1d64b5598ac8d37c3b12c42d3477035e2525186"/>
    <w:p>
      <w:pPr>
        <w:pStyle w:val="Heading2"/>
      </w:pPr>
      <w:r>
        <w:t xml:space="preserve">Customer Insights: Frankfurt-Specific Trends</w:t>
      </w:r>
    </w:p>
    <w:p>
      <w:pPr>
        <w:pStyle w:val="FirstParagraph"/>
      </w:pPr>
      <w:r>
        <w:t xml:space="preserve">German pet owner behavior in Frankfurt reveals critical sales implications:</w:t>
      </w:r>
    </w:p>
    <w:p>
      <w:pPr>
        <w:numPr>
          <w:ilvl w:val="0"/>
          <w:numId w:val="1002"/>
        </w:numPr>
        <w:pStyle w:val="Compact"/>
      </w:pPr>
      <w:r>
        <w:rPr>
          <w:bCs/>
          <w:b/>
        </w:rPr>
        <w:t xml:space="preserve">Value for Specialization:</w:t>
      </w:r>
      <w:r>
        <w:t xml:space="preserve"> </w:t>
      </w:r>
      <w:r>
        <w:t xml:space="preserve">76% of clients prioritize clinics with certified specialists (e.g., veterinary cardiologists) – driving our investment in advanced staff training.</w:t>
      </w:r>
    </w:p>
    <w:p>
      <w:pPr>
        <w:numPr>
          <w:ilvl w:val="0"/>
          <w:numId w:val="1002"/>
        </w:numPr>
        <w:pStyle w:val="Compact"/>
      </w:pPr>
      <w:r>
        <w:rPr>
          <w:bCs/>
          <w:b/>
        </w:rPr>
        <w:t xml:space="preserve">Digital Expectations:</w:t>
      </w:r>
      <w:r>
        <w:t xml:space="preserve"> </w:t>
      </w:r>
      <w:r>
        <w:t xml:space="preserve">83% of Frankfurt pet owners prefer online booking over phone calls; our app's average booking time is now 2.1 minutes versus industry average of 7.3 minutes.</w:t>
      </w:r>
    </w:p>
    <w:p>
      <w:pPr>
        <w:numPr>
          <w:ilvl w:val="0"/>
          <w:numId w:val="1002"/>
        </w:numPr>
        <w:pStyle w:val="Compact"/>
      </w:pPr>
      <w:r>
        <w:rPr>
          <w:bCs/>
          <w:b/>
        </w:rPr>
        <w:t xml:space="preserve">Sustainability Focus:</w:t>
      </w:r>
      <w:r>
        <w:t xml:space="preserve"> </w:t>
      </w:r>
      <w:r>
        <w:t xml:space="preserve">Demand for eco-friendly products (e.g., biodegradable waste bags, organic food) grew by 54% – prompting a new sustainable product line that contributed €142,000 in sales.</w:t>
      </w:r>
    </w:p>
    <w:p>
      <w:pPr>
        <w:pStyle w:val="FirstParagraph"/>
      </w:pPr>
      <w:r>
        <w:t xml:space="preserve">These insights confirm that successful veterinary sales in Germany's Frankfurt market require deep cultural and regulatory alignment – not just clinical excellence.</w:t>
      </w:r>
    </w:p>
    <w:bookmarkEnd w:id="27"/>
    <w:bookmarkStart w:id="28" w:name="strategic-recommendations-for-2024"/>
    <w:p>
      <w:pPr>
        <w:pStyle w:val="Heading2"/>
      </w:pPr>
      <w:r>
        <w:t xml:space="preserve">Strategic Recommendations for 2024</w:t>
      </w:r>
    </w:p>
    <w:p>
      <w:pPr>
        <w:pStyle w:val="FirstParagraph"/>
      </w:pPr>
      <w:r>
        <w:t xml:space="preserve">Based on this Sales Report, we recommend three targeted initiatives to leverage our leadership in Germany's Frankfurt veterinary sector:</w:t>
      </w:r>
    </w:p>
    <w:p>
      <w:pPr>
        <w:numPr>
          <w:ilvl w:val="0"/>
          <w:numId w:val="1003"/>
        </w:numPr>
        <w:pStyle w:val="Compact"/>
      </w:pPr>
      <w:r>
        <w:rPr>
          <w:bCs/>
          <w:b/>
        </w:rPr>
        <w:t xml:space="preserve">Expand Emergency Service Network:</w:t>
      </w:r>
      <w:r>
        <w:t xml:space="preserve"> </w:t>
      </w:r>
      <w:r>
        <w:t xml:space="preserve">Partner with Frankfurt's fire department (Feuerwehr) to establish a dedicated 24/7 emergency clinic in the city center, addressing the 38% unmet demand for after-hours care identified in our client surveys.</w:t>
      </w:r>
    </w:p>
    <w:p>
      <w:pPr>
        <w:numPr>
          <w:ilvl w:val="0"/>
          <w:numId w:val="1003"/>
        </w:numPr>
        <w:pStyle w:val="Compact"/>
      </w:pPr>
      <w:r>
        <w:rPr>
          <w:bCs/>
          <w:b/>
        </w:rPr>
        <w:t xml:space="preserve">Launch "Frankfurt Pet Wellness Index":</w:t>
      </w:r>
      <w:r>
        <w:t xml:space="preserve"> </w:t>
      </w:r>
      <w:r>
        <w:t xml:space="preserve">Create a data-driven initiative tracking health trends across Frankfurt's pet population (e.g., seasonal allergies, obesity rates), positioning us as the market authority while generating valuable insights for sales forecasting.</w:t>
      </w:r>
    </w:p>
    <w:p>
      <w:pPr>
        <w:numPr>
          <w:ilvl w:val="0"/>
          <w:numId w:val="1003"/>
        </w:numPr>
        <w:pStyle w:val="Compact"/>
      </w:pPr>
      <w:r>
        <w:rPr>
          <w:bCs/>
          <w:b/>
        </w:rPr>
        <w:t xml:space="preserve">Target International Client Segment:</w:t>
      </w:r>
      <w:r>
        <w:t xml:space="preserve"> </w:t>
      </w:r>
      <w:r>
        <w:t xml:space="preserve">Develop multilingual premium packages in key languages of Frankfurt's expat communities (Chinese, French), projected to unlock €350K+ in incremental revenue based on 2023 referral data.</w:t>
      </w:r>
    </w:p>
    <w:p>
      <w:pPr>
        <w:pStyle w:val="FirstParagraph"/>
      </w:pPr>
      <w:r>
        <w:rPr>
          <w:bCs/>
          <w:b/>
        </w:rPr>
        <w:t xml:space="preserve">Strategic Imperative:</w:t>
      </w:r>
      <w:r>
        <w:t xml:space="preserve"> </w:t>
      </w:r>
      <w:r>
        <w:t xml:space="preserve">To maintain dominance in Germany's Frankfurt veterinary market, we must deepen our integration into the city's healthcare ecosystem while adhering to German regulatory standards that distinguish premium providers.</w:t>
      </w:r>
    </w:p>
    <w:bookmarkEnd w:id="28"/>
    <w:bookmarkStart w:id="29" w:name="conclusion"/>
    <w:p>
      <w:pPr>
        <w:pStyle w:val="Heading2"/>
      </w:pPr>
      <w:r>
        <w:t xml:space="preserve">Conclusion</w:t>
      </w:r>
    </w:p>
    <w:p>
      <w:pPr>
        <w:pStyle w:val="FirstParagraph"/>
      </w:pPr>
      <w:r>
        <w:t xml:space="preserve">This Sales Report unequivocally demonstrates Frankfurt Animal Care Center's leadership in Germany's most dynamic veterinary market. Our 18.3% revenue growth – significantly exceeding the German industry average of 5.4% – stems from our precise adaptation to Frankfurt's unique blend of international diversity, regulatory complexity, and sophisticated pet owner expectations. The data confirms that successful Veterinary sales in Germany Frankfurt require more than clinical expertise; it demands cultural fluency, technological innovation aligned with German compliance frameworks, and community-centric service models.</w:t>
      </w:r>
    </w:p>
    <w:p>
      <w:pPr>
        <w:pStyle w:val="BodyText"/>
      </w:pPr>
      <w:r>
        <w:t xml:space="preserve">As we move into 2024, our focus will intensify on transforming data from this Sales Report into actionable growth – ensuring that every €100 generated continues to reflect the high standards demanded by Frankfurt's discerning pet owners and Germany's rigorous veterinary regulations. This commitment positions us not merely as a clinic, but as the trusted Veterinary partner for families across Germany's most vibrant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Veterinary Practice Frankfurt, Germany</dc:title>
  <dc:creator/>
  <dc:language>en</dc:language>
  <cp:keywords/>
  <dcterms:created xsi:type="dcterms:W3CDTF">2026-07-21T05:59:58Z</dcterms:created>
  <dcterms:modified xsi:type="dcterms:W3CDTF">2026-07-21T05:59:58Z</dcterms:modified>
</cp:coreProperties>
</file>

<file path=docProps/custom.xml><?xml version="1.0" encoding="utf-8"?>
<Properties xmlns="http://schemas.openxmlformats.org/officeDocument/2006/custom-properties" xmlns:vt="http://schemas.openxmlformats.org/officeDocument/2006/docPropsVTypes"/>
</file>