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Jakarta</w:t>
      </w:r>
      <w:r>
        <w:t xml:space="preserve"> </w:t>
      </w:r>
      <w:r>
        <w:t xml:space="preserve">Veterinary</w:t>
      </w:r>
      <w:r>
        <w:t xml:space="preserve"> </w:t>
      </w:r>
      <w:r>
        <w:t xml:space="preserve">Services</w:t>
      </w:r>
    </w:p>
    <w:bookmarkStart w:id="27" w:name="X351e8f1d24da9825ac09353c61d6645900463d6"/>
    <w:p>
      <w:pPr>
        <w:pStyle w:val="Heading1"/>
      </w:pPr>
      <w:r>
        <w:t xml:space="preserve">Quarterly Sales Report: Jakarta Veterinary Services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PT. Kesehatan Hewan Indonesia</w:t>
      </w:r>
      <w:r>
        <w:br/>
      </w:r>
      <w:r>
        <w:rPr>
          <w:bCs/>
          <w:b/>
        </w:rPr>
        <w:t xml:space="preserve">Report Period:</w:t>
      </w:r>
      <w:r>
        <w:t xml:space="preserve"> </w:t>
      </w:r>
      <w:r>
        <w:t xml:space="preserve">July 1, 2023 - September 30, 2023</w:t>
      </w:r>
      <w:r>
        <w:br/>
      </w:r>
      <w:r>
        <w:rPr>
          <w:bCs/>
          <w:b/>
        </w:rPr>
        <w:t xml:space="preserve">Location:</w:t>
      </w:r>
      <w:r>
        <w:t xml:space="preserve"> </w:t>
      </w:r>
      <w:r>
        <w:t xml:space="preserve">Jakarta, Indonesia</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veterinary services across Jakarta during the third quarter of 2023. As a leading veterinarian practice in Indonesia Jakarta, we have achieved remarkable growth while navigating unique urban challenges. Total revenue reached Rp 875,400,000 (approximately USD 58,360), representing a 17.4% increase from Q2 and exceeding our quarterly target by 9.2%. This growth underscores Jakarta's expanding pet ownership market and our strategic positioning as a trusted veterinarian provider in Indonesia's capital city. The report analyzes service utilization patterns, customer trends, and identifies actionable opportunities to further strengthen our market leadership in Indonesia Jakarta.</w:t>
      </w:r>
    </w:p>
    <w:bookmarkEnd w:id="20"/>
    <w:bookmarkStart w:id="21" w:name="ii.-sales-performance-overview"/>
    <w:p>
      <w:pPr>
        <w:pStyle w:val="Heading2"/>
      </w:pPr>
      <w:r>
        <w:t xml:space="preserve">II. Sales Performance Overview</w:t>
      </w:r>
    </w:p>
    <w:p>
      <w:pPr>
        <w:pStyle w:val="FirstParagraph"/>
      </w:pPr>
      <w:r>
        <w:t xml:space="preserve">Our veterinary clinic network across Jakarta (operating 3 locations: Central Jakarta, South Jakarta, and West Jakarta) recorded 42% year-over-year growth in patient visits. This significant achievement reflects rising pet ownership in Indonesia's urban centers - with Jakarta now home to over 1.2 million companion animals according to the Indonesian Veterinary Association (IVMA). Key metrics include:</w:t>
      </w:r>
    </w:p>
    <w:p>
      <w:pPr>
        <w:numPr>
          <w:ilvl w:val="0"/>
          <w:numId w:val="1001"/>
        </w:numPr>
        <w:pStyle w:val="Compact"/>
      </w:pPr>
      <w:r>
        <w:rPr>
          <w:bCs/>
          <w:b/>
        </w:rPr>
        <w:t xml:space="preserve">Revenue Growth:</w:t>
      </w:r>
      <w:r>
        <w:t xml:space="preserve"> </w:t>
      </w:r>
      <w:r>
        <w:t xml:space="preserve">Rp 875,400,000 (Q3 2023) vs. Rp 745,918,687 (Q2 2023)</w:t>
      </w:r>
    </w:p>
    <w:p>
      <w:pPr>
        <w:numPr>
          <w:ilvl w:val="0"/>
          <w:numId w:val="1001"/>
        </w:numPr>
        <w:pStyle w:val="Compact"/>
      </w:pPr>
      <w:r>
        <w:rPr>
          <w:bCs/>
          <w:b/>
        </w:rPr>
        <w:t xml:space="preserve">Patient Volume:</w:t>
      </w:r>
      <w:r>
        <w:t xml:space="preserve"> </w:t>
      </w:r>
      <w:r>
        <w:t xml:space="preserve">14,856 consultations (+37% YoY)</w:t>
      </w:r>
    </w:p>
    <w:p>
      <w:pPr>
        <w:numPr>
          <w:ilvl w:val="0"/>
          <w:numId w:val="1001"/>
        </w:numPr>
        <w:pStyle w:val="Compact"/>
      </w:pPr>
      <w:r>
        <w:rPr>
          <w:bCs/>
          <w:b/>
        </w:rPr>
        <w:t xml:space="preserve">Average Transaction Value:</w:t>
      </w:r>
      <w:r>
        <w:t xml:space="preserve"> </w:t>
      </w:r>
      <w:r>
        <w:t xml:space="preserve">Rp 59,000 (up from Rp 54,800 in Q2)</w:t>
      </w:r>
    </w:p>
    <w:p>
      <w:pPr>
        <w:numPr>
          <w:ilvl w:val="0"/>
          <w:numId w:val="1001"/>
        </w:numPr>
        <w:pStyle w:val="Compact"/>
      </w:pPr>
      <w:r>
        <w:rPr>
          <w:bCs/>
          <w:b/>
        </w:rPr>
        <w:t xml:space="preserve">New Customer Acquisition:</w:t>
      </w:r>
      <w:r>
        <w:t xml:space="preserve"> </w:t>
      </w:r>
      <w:r>
        <w:t xml:space="preserve">21.3% of total visits (vs. 16.7% in Q2)</w:t>
      </w:r>
    </w:p>
    <w:bookmarkEnd w:id="21"/>
    <w:bookmarkStart w:id="22" w:name="iii.-service-line-breakdown"/>
    <w:p>
      <w:pPr>
        <w:pStyle w:val="Heading2"/>
      </w:pPr>
      <w:r>
        <w:t xml:space="preserve">III. Service Line Breakdown</w:t>
      </w:r>
    </w:p>
    <w:p>
      <w:pPr>
        <w:pStyle w:val="FirstParagraph"/>
      </w:pPr>
      <w:r>
        <w:t xml:space="preserve">The Sales Report reveals significant shifts in service demand, particularly within Indonesia Jakarta's urban pet care ecosystem:</w:t>
      </w:r>
    </w:p>
    <w:p>
      <w:pPr>
        <w:pStyle w:val="BodyText"/>
      </w:pPr>
      <w:r>
        <w:t xml:space="preserve">Service Category</w:t>
      </w:r>
    </w:p>
    <w:p>
      <w:pPr>
        <w:pStyle w:val="BodyText"/>
      </w:pPr>
      <w:r>
        <w:t xml:space="preserve">Revenue (Rp)</w:t>
      </w:r>
    </w:p>
    <w:p>
      <w:pPr>
        <w:pStyle w:val="BodyText"/>
      </w:pPr>
      <w:r>
        <w:t xml:space="preserve">% of Total Revenue</w:t>
      </w:r>
    </w:p>
    <w:p>
      <w:pPr>
        <w:pStyle w:val="BodyText"/>
      </w:pPr>
      <w:r>
        <w:t xml:space="preserve">Growth vs Q2</w:t>
      </w:r>
    </w:p>
    <w:p>
      <w:pPr>
        <w:pStyle w:val="BodyText"/>
      </w:pPr>
      <w:r>
        <w:t xml:space="preserve">Preventive Care (Vaccinations, Check-ups)</w:t>
      </w:r>
    </w:p>
    <w:p>
      <w:pPr>
        <w:pStyle w:val="BodyText"/>
      </w:pPr>
      <w:r>
        <w:t xml:space="preserve">318,750,000</w:t>
      </w:r>
    </w:p>
    <w:p>
      <w:pPr>
        <w:pStyle w:val="BodyText"/>
      </w:pPr>
      <w:r>
        <w:t xml:space="preserve">36.4%</w:t>
      </w:r>
    </w:p>
    <w:p>
      <w:pPr>
        <w:pStyle w:val="BodyText"/>
      </w:pPr>
      <w:r>
        <w:t xml:space="preserve">+22.1%</w:t>
      </w:r>
    </w:p>
    <w:p>
      <w:pPr>
        <w:pStyle w:val="BodyText"/>
      </w:pPr>
      <w:r>
        <w:t xml:space="preserve">Surgical Procedures</w:t>
      </w:r>
    </w:p>
    <w:p>
      <w:pPr>
        <w:pStyle w:val="BodyText"/>
      </w:pPr>
      <w:r>
        <w:t xml:space="preserve">246,985,500</w:t>
      </w:r>
    </w:p>
    <w:p>
      <w:pPr>
        <w:pStyle w:val="BodyText"/>
      </w:pPr>
      <w:r>
        <w:t xml:space="preserve">&lt;</w:t>
      </w:r>
    </w:p>
    <w:p>
      <w:pPr>
        <w:pStyle w:val="BodyText"/>
      </w:pPr>
      <w:r>
        <w:t xml:space="preserve">28.2%</w:t>
      </w:r>
    </w:p>
    <w:p>
      <w:pPr>
        <w:pStyle w:val="BodyText"/>
      </w:pPr>
      <w:r>
        <w:t xml:space="preserve">+14.7%</w:t>
      </w:r>
    </w:p>
    <w:p>
      <w:pPr>
        <w:pStyle w:val="BodyText"/>
      </w:pPr>
      <w:r>
        <w:t xml:space="preserve">Dermatology &amp; Specialized Treatments</w:t>
      </w:r>
    </w:p>
    <w:p>
      <w:pPr>
        <w:pStyle w:val="BodyText"/>
      </w:pPr>
      <w:r>
        <w:t xml:space="preserve">135,678,900</w:t>
      </w:r>
    </w:p>
    <w:p>
      <w:pPr>
        <w:pStyle w:val="BodyText"/>
      </w:pPr>
      <w:r>
        <w:t xml:space="preserve">&lt;</w:t>
      </w:r>
    </w:p>
    <w:p>
      <w:pPr>
        <w:pStyle w:val="BodyText"/>
      </w:pPr>
      <w:r>
        <w:t xml:space="preserve">15.5%</w:t>
      </w:r>
    </w:p>
    <w:p>
      <w:pPr>
        <w:pStyle w:val="BodyText"/>
      </w:pPr>
      <w:r>
        <w:t xml:space="preserve">+31.8%</w:t>
      </w:r>
    </w:p>
    <w:p>
      <w:pPr>
        <w:pStyle w:val="BodyText"/>
      </w:pPr>
      <w:r>
        <w:t xml:space="preserve">Pharmacy &amp; Nutrition Products</w:t>
      </w:r>
    </w:p>
    <w:p>
      <w:pPr>
        <w:pStyle w:val="BodyText"/>
      </w:pPr>
      <w:r>
        <w:t xml:space="preserve">&lt;</w:t>
      </w:r>
    </w:p>
    <w:p>
      <w:pPr>
        <w:pStyle w:val="BodyText"/>
      </w:pPr>
      <w:r>
        <w:t xml:space="preserve">124,726,400</w:t>
      </w:r>
    </w:p>
    <w:p>
      <w:pPr>
        <w:pStyle w:val="BodyText"/>
      </w:pPr>
      <w:r>
        <w:t xml:space="preserve">The most notable trend is the 31.8% surge in dermatology services, driven by Jakarta's high humidity and pollution levels that exacerbate skin conditions in pets. Additionally, our mobile veterinary service - launched specifically for Indonesia Jakarta's dense urban neighborhoods - contributed Rp 72 million in revenue through targeted outreach to apartment communities.</w:t>
      </w:r>
    </w:p>
    <w:bookmarkEnd w:id="22"/>
    <w:bookmarkStart w:id="23" w:name="X1021fd7a6fae11c5ffb0515dcf7582102004e21"/>
    <w:p>
      <w:pPr>
        <w:pStyle w:val="Heading2"/>
      </w:pPr>
      <w:r>
        <w:t xml:space="preserve">IV. Market Context: Veterinary Services in Indonesia Jakarta</w:t>
      </w:r>
    </w:p>
    <w:p>
      <w:pPr>
        <w:pStyle w:val="FirstParagraph"/>
      </w:pPr>
      <w:r>
        <w:t xml:space="preserve">Indonesia Jakarta presents a unique veterinary market with distinctive opportunities. With over 10 million residents and rising disposable income (68% of households earning above IDR 7 million monthly), pet care has transitioned from luxury to necessity. Our Sales Report indicates that 62% of Jakarta's pet owners prioritize veterinary care as a non-negotiable expense – a trend accelerating faster than national averages.</w:t>
      </w:r>
    </w:p>
    <w:p>
      <w:pPr>
        <w:pStyle w:val="BodyText"/>
      </w:pPr>
      <w:r>
        <w:t xml:space="preserve">Key market differentiators in Indonesia Jakarta include:</w:t>
      </w:r>
    </w:p>
    <w:p>
      <w:pPr>
        <w:numPr>
          <w:ilvl w:val="0"/>
          <w:numId w:val="1002"/>
        </w:numPr>
        <w:pStyle w:val="Compact"/>
      </w:pPr>
      <w:r>
        <w:rPr>
          <w:bCs/>
          <w:b/>
        </w:rPr>
        <w:t xml:space="preserve">Urban Density:</w:t>
      </w:r>
      <w:r>
        <w:t xml:space="preserve"> </w:t>
      </w:r>
      <w:r>
        <w:t xml:space="preserve">Requires specialized mobile services to overcome traffic barriers (e.g., our 20% reduction in patient no-shows via digital appointment reminders)</w:t>
      </w:r>
    </w:p>
    <w:p>
      <w:pPr>
        <w:numPr>
          <w:ilvl w:val="0"/>
          <w:numId w:val="1002"/>
        </w:numPr>
        <w:pStyle w:val="Compact"/>
      </w:pPr>
      <w:r>
        <w:rPr>
          <w:bCs/>
          <w:b/>
        </w:rPr>
        <w:t xml:space="preserve">Cultural Shift:</w:t>
      </w:r>
      <w:r>
        <w:t xml:space="preserve"> </w:t>
      </w:r>
      <w:r>
        <w:t xml:space="preserve">Rising middle-class pet ownership (especially dogs and cats) with 43% of owners reporting pets as family members</w:t>
      </w:r>
    </w:p>
    <w:p>
      <w:pPr>
        <w:numPr>
          <w:ilvl w:val="0"/>
          <w:numId w:val="1002"/>
        </w:numPr>
        <w:pStyle w:val="Compact"/>
      </w:pPr>
      <w:r>
        <w:rPr>
          <w:bCs/>
          <w:b/>
        </w:rPr>
        <w:t xml:space="preserve">Regulatory Environment:</w:t>
      </w:r>
      <w:r>
        <w:t xml:space="preserve"> </w:t>
      </w:r>
      <w:r>
        <w:t xml:space="preserve">Increasing government focus on animal welfare compliance, creating demand for certified veterinarian services</w:t>
      </w:r>
    </w:p>
    <w:bookmarkEnd w:id="23"/>
    <w:bookmarkStart w:id="24" w:name="X81e22d48586c66a5b7af0a1c7bf766a4e8de18c"/>
    <w:p>
      <w:pPr>
        <w:pStyle w:val="Heading2"/>
      </w:pPr>
      <w:r>
        <w:t xml:space="preserve">V. Customer Demographics &amp; Behavior Insights</w:t>
      </w:r>
    </w:p>
    <w:p>
      <w:pPr>
        <w:pStyle w:val="FirstParagraph"/>
      </w:pPr>
      <w:r>
        <w:t xml:space="preserve">The Sales Report highlights a 45% increase in female pet owners (aged 28-45) utilizing our telemedicine consultation service. This segment demonstrates higher service frequency and willingness to pay premium rates for specialized care – a key demographic for Indonesia Jakarta's evolving veterinary landscape.</w:t>
      </w:r>
    </w:p>
    <w:p>
      <w:pPr>
        <w:pStyle w:val="BodyText"/>
      </w:pPr>
      <w:r>
        <w:t xml:space="preserve">Location-based analysis shows:</w:t>
      </w:r>
    </w:p>
    <w:p>
      <w:pPr>
        <w:numPr>
          <w:ilvl w:val="0"/>
          <w:numId w:val="1003"/>
        </w:numPr>
        <w:pStyle w:val="Compact"/>
      </w:pPr>
      <w:r>
        <w:t xml:space="preserve">South Jakarta (Mega Kuningan, Cipete): 32% of revenue from high-income residential areas</w:t>
      </w:r>
    </w:p>
    <w:p>
      <w:pPr>
        <w:numPr>
          <w:ilvl w:val="0"/>
          <w:numId w:val="1003"/>
        </w:numPr>
        <w:pStyle w:val="Compact"/>
      </w:pPr>
      <w:r>
        <w:t xml:space="preserve">Central Jakarta (Senayan, Menteng): 28% revenue from premium pet owners seeking preventive care</w:t>
      </w:r>
    </w:p>
    <w:p>
      <w:pPr>
        <w:numPr>
          <w:ilvl w:val="0"/>
          <w:numId w:val="1003"/>
        </w:numPr>
        <w:pStyle w:val="Compact"/>
      </w:pPr>
      <w:r>
        <w:t xml:space="preserve">West Jakarta (Kebon Jeruk, Cengkareng): Fastest-growing segment (+51% YoY) for emergency services</w:t>
      </w:r>
    </w:p>
    <w:bookmarkEnd w:id="24"/>
    <w:bookmarkStart w:id="25" w:name="vi.-challenges-strategic-opportunities"/>
    <w:p>
      <w:pPr>
        <w:pStyle w:val="Heading2"/>
      </w:pPr>
      <w:r>
        <w:t xml:space="preserve">VI. Challenges &amp; Strategic Opportunities</w:t>
      </w:r>
    </w:p>
    <w:p>
      <w:pPr>
        <w:pStyle w:val="FirstParagraph"/>
      </w:pPr>
      <w:r>
        <w:t xml:space="preserve">Our Sales Report identifies two critical challenges requiring immediate attention:</w:t>
      </w:r>
    </w:p>
    <w:p>
      <w:pPr>
        <w:numPr>
          <w:ilvl w:val="0"/>
          <w:numId w:val="1004"/>
        </w:numPr>
        <w:pStyle w:val="Compact"/>
      </w:pPr>
      <w:r>
        <w:rPr>
          <w:bCs/>
          <w:b/>
        </w:rPr>
        <w:t xml:space="preserve">Traffic-Induced Service Delays:</w:t>
      </w:r>
      <w:r>
        <w:t xml:space="preserve"> </w:t>
      </w:r>
      <w:r>
        <w:t xml:space="preserve">17% of client complaints cite transportation issues, particularly in peak hours (7-9 AM). Solution: Implement dynamic scheduling with AI traffic prediction and expand weekend mobile services.</w:t>
      </w:r>
    </w:p>
    <w:p>
      <w:pPr>
        <w:numPr>
          <w:ilvl w:val="0"/>
          <w:numId w:val="1004"/>
        </w:numPr>
        <w:pStyle w:val="Compact"/>
      </w:pPr>
      <w:r>
        <w:rPr>
          <w:bCs/>
          <w:b/>
        </w:rPr>
        <w:t xml:space="preserve">Supply Chain Gaps:</w:t>
      </w:r>
      <w:r>
        <w:t xml:space="preserve"> </w:t>
      </w:r>
      <w:r>
        <w:t xml:space="preserve">Shortages of specialized dermatology medications during Q3. Solution: Establish direct partnerships with Indonesian pharmaceutical distributors for emergency inventory management.</w:t>
      </w:r>
    </w:p>
    <w:p>
      <w:pPr>
        <w:pStyle w:val="FirstParagraph"/>
      </w:pPr>
      <w:r>
        <w:t xml:space="preserve">Strategic opportunities emerging in Indonesia Jakarta include:</w:t>
      </w:r>
    </w:p>
    <w:p>
      <w:pPr>
        <w:numPr>
          <w:ilvl w:val="0"/>
          <w:numId w:val="1005"/>
        </w:numPr>
        <w:pStyle w:val="Compact"/>
      </w:pPr>
      <w:r>
        <w:rPr>
          <w:bCs/>
          <w:b/>
        </w:rPr>
        <w:t xml:space="preserve">Pet Insurance Partnerships:</w:t>
      </w:r>
      <w:r>
        <w:t xml:space="preserve"> </w:t>
      </w:r>
      <w:r>
        <w:t xml:space="preserve">Collaborating with local insurers (e.g., Asuransi Astra) to bundle coverage with our veterinarian services – projected to increase patient retention by 25%</w:t>
      </w:r>
    </w:p>
    <w:p>
      <w:pPr>
        <w:numPr>
          <w:ilvl w:val="0"/>
          <w:numId w:val="1005"/>
        </w:numPr>
        <w:pStyle w:val="Compact"/>
      </w:pPr>
      <w:r>
        <w:rPr>
          <w:bCs/>
          <w:b/>
        </w:rPr>
        <w:t xml:space="preserve">Corporate Wellness Programs:</w:t>
      </w:r>
      <w:r>
        <w:t xml:space="preserve"> </w:t>
      </w:r>
      <w:r>
        <w:t xml:space="preserve">Partnering with Jakarta-based multinational companies for employee pet care benefits (pilot program launched at 3 corporate campuses)</w:t>
      </w:r>
    </w:p>
    <w:bookmarkEnd w:id="25"/>
    <w:bookmarkStart w:id="26" w:name="vii.-conclusion-forward-looking-strategy"/>
    <w:p>
      <w:pPr>
        <w:pStyle w:val="Heading2"/>
      </w:pPr>
      <w:r>
        <w:t xml:space="preserve">VII. Conclusion &amp; Forward-Looking Strategy</w:t>
      </w:r>
    </w:p>
    <w:p>
      <w:pPr>
        <w:pStyle w:val="FirstParagraph"/>
      </w:pPr>
      <w:r>
        <w:t xml:space="preserve">This Sales Report confirms Jakarta's veterinary market is not just growing but transforming rapidly. As Indonesia Jakarta establishes itself as Southeast Asia's largest pet care hub, our veterinarian practice has positioned itself at the forefront of this evolution through data-driven service innovation.</w:t>
      </w:r>
    </w:p>
    <w:p>
      <w:pPr>
        <w:pStyle w:val="BodyText"/>
      </w:pPr>
      <w:r>
        <w:t xml:space="preserve">For Q4 2023, we recommend:</w:t>
      </w:r>
    </w:p>
    <w:p>
      <w:pPr>
        <w:numPr>
          <w:ilvl w:val="0"/>
          <w:numId w:val="1006"/>
        </w:numPr>
        <w:pStyle w:val="Compact"/>
      </w:pPr>
      <w:r>
        <w:t xml:space="preserve">Expand mobile veterinary units by 40% to address Jakarta's urban mobility challenges</w:t>
      </w:r>
    </w:p>
    <w:p>
      <w:pPr>
        <w:numPr>
          <w:ilvl w:val="0"/>
          <w:numId w:val="1006"/>
        </w:numPr>
        <w:pStyle w:val="Compact"/>
      </w:pPr>
      <w:r>
        <w:t xml:space="preserve">Leverage the current dermatology trend to develop a specialized skin health subscription model</w:t>
      </w:r>
    </w:p>
    <w:p>
      <w:pPr>
        <w:numPr>
          <w:ilvl w:val="0"/>
          <w:numId w:val="1006"/>
        </w:numPr>
        <w:pStyle w:val="Compact"/>
      </w:pPr>
      <w:r>
        <w:t xml:space="preserve">Implement an integrated pet health app with telemedicine features, targeting Jakarta's tech-savvy demographic</w:t>
      </w:r>
    </w:p>
    <w:p>
      <w:pPr>
        <w:pStyle w:val="FirstParagraph"/>
      </w:pPr>
      <w:r>
        <w:t xml:space="preserve">The success demonstrated in this Sales Report validates our strategy of aligning veterinary services with Jakarta's unique urban environment. As Indonesia Jakarta continues its journey toward becoming a global benchmark for pet wellness, our veterinarian practice remains committed to leading this transformation through excellence in care, innovation, and community partnership. The data is clear: When we meet the specific needs of Indonesia's largest city through specialized veterinary solutions, both client satisfaction and revenue growth become inevitable outcomes.</w:t>
      </w:r>
    </w:p>
    <w:p>
      <w:pPr>
        <w:pStyle w:val="BodyText"/>
      </w:pPr>
      <w:r>
        <w:rPr>
          <w:bCs/>
          <w:b/>
        </w:rPr>
        <w:t xml:space="preserve">Prepared By:</w:t>
      </w:r>
      <w:r>
        <w:t xml:space="preserve"> </w:t>
      </w:r>
      <w:r>
        <w:t xml:space="preserve">Jakarta Veterinary Analytics Team</w:t>
      </w:r>
      <w:r>
        <w:br/>
      </w:r>
      <w:r>
        <w:rPr>
          <w:bCs/>
          <w:b/>
        </w:rPr>
        <w:t xml:space="preserve">Company:</w:t>
      </w:r>
      <w:r>
        <w:t xml:space="preserve"> </w:t>
      </w:r>
      <w:r>
        <w:t xml:space="preserve">PT. Kesehatan Hewan Indonesia (Indonesia Veterinarian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Jakarta Veterinary Services</dc:title>
  <dc:creator/>
  <dc:language>en</dc:language>
  <cp:keywords/>
  <dcterms:created xsi:type="dcterms:W3CDTF">2025-12-11T17:03:27Z</dcterms:created>
  <dcterms:modified xsi:type="dcterms:W3CDTF">2025-12-11T17:03:27Z</dcterms:modified>
</cp:coreProperties>
</file>

<file path=docProps/custom.xml><?xml version="1.0" encoding="utf-8"?>
<Properties xmlns="http://schemas.openxmlformats.org/officeDocument/2006/custom-properties" xmlns:vt="http://schemas.openxmlformats.org/officeDocument/2006/docPropsVTypes"/>
</file>