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Veterinary</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7da6c22f7a5cce490afec5e5e299d4b864b52a3"/>
    <w:p>
      <w:pPr>
        <w:pStyle w:val="Heading1"/>
      </w:pPr>
      <w:r>
        <w:t xml:space="preserve">Quarterly Sales Performance Report: Veterinary Services in Tehran, Iran (Q3 2023)</w:t>
      </w:r>
    </w:p>
    <w:bookmarkStart w:id="20" w:name="executive-summary"/>
    <w:p>
      <w:pPr>
        <w:pStyle w:val="Heading2"/>
      </w:pPr>
      <w:r>
        <w:t xml:space="preserve">Executive Summary</w:t>
      </w:r>
    </w:p>
    <w:p>
      <w:pPr>
        <w:pStyle w:val="FirstParagraph"/>
      </w:pPr>
      <w:r>
        <w:t xml:space="preserve">This report details the comprehensive sales performance of veterinary services across Tehran, Iran during the third quarter of 2023. As the capital city and largest urban center of Iran, Tehran presents a dynamic market for veterinary care with growing pet ownership and increasing demand for specialized animal health solutions. The data underscores significant growth in core veterinary services, driven by heightened awareness among pet owners and strategic expansion within our network of clinics. This report provides actionable insights for optimizing sales strategies specifically tailored to the Iranian veterinary landscape in Tehran.</w:t>
      </w:r>
    </w:p>
    <w:bookmarkEnd w:id="20"/>
    <w:bookmarkStart w:id="21" w:name="X7262cbc3a44d87d79f5140c6ec03b0b31fd5765"/>
    <w:p>
      <w:pPr>
        <w:pStyle w:val="Heading2"/>
      </w:pPr>
      <w:r>
        <w:t xml:space="preserve">Market Context: Iran Tehran Veterinary Landscape</w:t>
      </w:r>
    </w:p>
    <w:p>
      <w:pPr>
        <w:pStyle w:val="FirstParagraph"/>
      </w:pPr>
      <w:r>
        <w:t xml:space="preserve">Tehran, home to over 12 million residents, represents the epicenter of veterinary commerce in Iran. The city’s pet ownership rate has surged by 18% year-on-year, fueled by rising disposable incomes and cultural shifts toward companion animal care. According to the Ministry of Agriculture (Iran), Tehran accounts for approximately 35% of all veterinary service sales nationwide. Critical factors influencing this growth include stringent animal welfare regulations enacted in 2022, increased vaccination campaigns targeting zoonotic diseases, and the emergence of premium pet wellness services previously uncommon in Iran’s market. Our veterinary practice network has strategically positioned itself to capitalize on these trends within Tehran’s competitive ecosystem.</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(IRR)</w:t>
            </w:r>
          </w:p>
        </w:tc>
        <w:tc>
          <w:tcPr/>
          <w:p>
            <w:pPr>
              <w:pStyle w:val="Compact"/>
              <w:jc w:val="left"/>
            </w:pPr>
            <w:r>
              <w:t xml:space="preserve">% Growth vs Q2 2023</w:t>
            </w:r>
          </w:p>
        </w:tc>
        <w:tc>
          <w:tcPr/>
          <w:p>
            <w:pPr>
              <w:pStyle w:val="Compact"/>
              <w:jc w:val="left"/>
            </w:pPr>
            <w:r>
              <w:t xml:space="preserve">Key Contributing Factors</w:t>
            </w:r>
          </w:p>
        </w:tc>
      </w:tr>
      <w:tr>
        <w:tc>
          <w:tcPr/>
          <w:p>
            <w:pPr>
              <w:pStyle w:val="Compact"/>
              <w:jc w:val="left"/>
            </w:pPr>
            <w:r>
              <w:t xml:space="preserve">Vaccinations &amp; Preventive Care</w:t>
            </w:r>
          </w:p>
        </w:tc>
        <w:tc>
          <w:tcPr/>
          <w:p>
            <w:pPr>
              <w:pStyle w:val="Compact"/>
              <w:jc w:val="left"/>
            </w:pPr>
            <w:r>
              <w:t xml:space="preserve">48,500,000,000</w:t>
            </w:r>
          </w:p>
        </w:tc>
        <w:tc>
          <w:tcPr/>
          <w:p>
            <w:pPr>
              <w:pStyle w:val="Compact"/>
              <w:jc w:val="left"/>
            </w:pPr>
            <w:r>
              <w:t xml:space="preserve">+22.3%</w:t>
            </w:r>
          </w:p>
        </w:tc>
        <w:tc>
          <w:tcPr/>
          <w:p>
            <w:pPr>
              <w:pStyle w:val="Compact"/>
              <w:jc w:val="left"/>
            </w:pPr>
            <w:r>
              <w:t xml:space="preserve">Government-mandated rabies campaigns; post-holiday pet check-ups</w:t>
            </w:r>
          </w:p>
        </w:tc>
      </w:tr>
      <w:tr>
        <w:tc>
          <w:tcPr/>
          <w:p>
            <w:pPr>
              <w:pStyle w:val="Compact"/>
              <w:jc w:val="left"/>
            </w:pPr>
            <w:r>
              <w:t xml:space="preserve">Diagnostics &amp; Laboratory Services</w:t>
            </w:r>
          </w:p>
        </w:tc>
        <w:tc>
          <w:tcPr/>
          <w:p>
            <w:pPr>
              <w:pStyle w:val="Compact"/>
              <w:jc w:val="left"/>
            </w:pPr>
            <w:r>
              <w:t xml:space="preserve">27,800,000,000</w:t>
            </w:r>
          </w:p>
        </w:tc>
        <w:tc>
          <w:tcPr/>
          <w:p>
            <w:pPr>
              <w:pStyle w:val="Compact"/>
              <w:jc w:val="left"/>
            </w:pPr>
            <w:r>
              <w:t xml:space="preserve">+15.7%</w:t>
            </w:r>
          </w:p>
        </w:tc>
        <w:tc>
          <w:tcPr/>
          <w:p>
            <w:pPr>
              <w:pStyle w:val="Compact"/>
              <w:jc w:val="left"/>
            </w:pPr>
            <w:r>
              <w:t xml:space="preserve">Expansion of in-clinic testing capabilities; demand for parasite screening</w:t>
            </w:r>
          </w:p>
        </w:tc>
      </w:tr>
      <w:tr>
        <w:tc>
          <w:tcPr/>
          <w:p>
            <w:pPr>
              <w:pStyle w:val="Compact"/>
              <w:jc w:val="left"/>
            </w:pPr>
            <w:r>
              <w:t xml:space="preserve">Pharmaceutical Sales (Vet-Only Products)</w:t>
            </w:r>
          </w:p>
        </w:tc>
        <w:tc>
          <w:tcPr/>
          <w:p>
            <w:pPr>
              <w:pStyle w:val="Compact"/>
              <w:jc w:val="left"/>
            </w:pPr>
            <w:r>
              <w:t xml:space="preserve">39,200,000,000</w:t>
            </w:r>
          </w:p>
        </w:tc>
        <w:tc>
          <w:tcPr/>
          <w:p>
            <w:pPr>
              <w:pStyle w:val="Compact"/>
              <w:jc w:val="left"/>
            </w:pPr>
            <w:r>
              <w:t xml:space="preserve">+18.9%</w:t>
            </w:r>
          </w:p>
        </w:tc>
        <w:tc>
          <w:tcPr/>
          <w:p>
            <w:pPr>
              <w:pStyle w:val="Compact"/>
              <w:jc w:val="left"/>
            </w:pPr>
            <w:r>
              <w:t xml:space="preserve">Rising pet obesity rates; increased prescriptions for chronic conditions</w:t>
            </w:r>
          </w:p>
        </w:tc>
      </w:tr>
      <w:tr>
        <w:tc>
          <w:tcPr/>
          <w:p>
            <w:pPr>
              <w:pStyle w:val="Compact"/>
              <w:jc w:val="left"/>
            </w:pPr>
            <w:r>
              <w:t xml:space="preserve">Surgical &amp; Specialty Care</w:t>
            </w:r>
          </w:p>
        </w:tc>
        <w:tc>
          <w:tcPr/>
          <w:p>
            <w:pPr>
              <w:pStyle w:val="Compact"/>
              <w:jc w:val="left"/>
            </w:pPr>
            <w:r>
              <w:t xml:space="preserve">22,600,000,000</w:t>
            </w:r>
          </w:p>
        </w:tc>
        <w:tc>
          <w:tcPr/>
          <w:p>
            <w:pPr>
              <w:pStyle w:val="Compact"/>
              <w:jc w:val="left"/>
            </w:pPr>
            <w:r>
              <w:t xml:space="preserve">+11.4%</w:t>
            </w:r>
          </w:p>
        </w:tc>
        <w:tc>
          <w:tcPr/>
          <w:p>
            <w:pPr>
              <w:pStyle w:val="Compact"/>
              <w:jc w:val="left"/>
            </w:pPr>
            <w:r>
              <w:t xml:space="preserve">Introduction of laser therapy; 35% uptake in dental procedures</w:t>
            </w:r>
          </w:p>
        </w:tc>
      </w:tr>
      <w:tr>
        <w:tc>
          <w:tcPr/>
          <w:p>
            <w:pPr>
              <w:pStyle w:val="Compact"/>
              <w:jc w:val="left"/>
            </w:pPr>
            <w:r>
              <w:t xml:space="preserve">Total Revenue</w:t>
            </w:r>
          </w:p>
        </w:tc>
        <w:tc>
          <w:tcPr/>
          <w:p>
            <w:pPr>
              <w:pStyle w:val="Compact"/>
              <w:jc w:val="left"/>
            </w:pPr>
            <w:r>
              <w:rPr>
                <w:bCs/>
                <w:b/>
              </w:rPr>
              <w:t xml:space="preserve">138,100,000,000 IRR</w:t>
            </w:r>
          </w:p>
        </w:tc>
        <w:tc>
          <w:tcPr/>
          <w:p>
            <w:pPr>
              <w:pStyle w:val="Compact"/>
              <w:jc w:val="left"/>
            </w:pPr>
            <w:r>
              <w:rPr>
                <w:bCs/>
                <w:b/>
              </w:rPr>
              <w:t xml:space="preserve">+17.6%</w:t>
            </w:r>
          </w:p>
        </w:tc>
        <w:tc>
          <w:tcPr/>
          <w:p>
            <w:pPr>
              <w:pStyle w:val="Compact"/>
            </w:pPr>
          </w:p>
        </w:tc>
      </w:tr>
    </w:tbl>
    <w:bookmarkEnd w:id="22"/>
    <w:bookmarkStart w:id="23" w:name="X87d7fa0487391eca4e06cd744e562359763c1ed"/>
    <w:p>
      <w:pPr>
        <w:pStyle w:val="Heading2"/>
      </w:pPr>
      <w:r>
        <w:t xml:space="preserve">Key Sales Drivers in Tehran's Veterinary Market</w:t>
      </w:r>
    </w:p>
    <w:p>
      <w:pPr>
        <w:pStyle w:val="FirstParagraph"/>
      </w:pPr>
      <w:r>
        <w:t xml:space="preserve">Several pivotal factors explain the robust sales growth observed in Iran's capital during Q3. First, our veterinarian-led telemedicine platform—launched specifically for Tehran residents—generated 14% of total revenue through remote consultations, reducing client travel barriers. Second, strategic partnerships with Tehran-based pet food manufacturers (e.g., "Shiraz Pet Nutrition") allowed exclusive product bundles that increased average transaction value by 23%. Third, the Ministry of Health’s new vaccination mandates for urban pets directly boosted demand for our preventive care packages across all Tehran clinics.</w:t>
      </w:r>
    </w:p>
    <w:bookmarkEnd w:id="23"/>
    <w:bookmarkStart w:id="24" w:name="challenges-in-sales-optimization"/>
    <w:p>
      <w:pPr>
        <w:pStyle w:val="Heading2"/>
      </w:pPr>
      <w:r>
        <w:t xml:space="preserve">Challenges in Sales Optimization</w:t>
      </w:r>
    </w:p>
    <w:p>
      <w:pPr>
        <w:pStyle w:val="FirstParagraph"/>
      </w:pPr>
      <w:r>
        <w:t xml:space="preserve">Despite strong performance, challenges persist in maximizing veterinary sales within Iran Tehran. Inflation (16.4% annual rate) has pressured client spending on non-essential services, causing a 15% decline in premium grooming packages compared to 2022. Additionally, supply chain disruptions for imported medications from Europe have occasionally caused stockouts of high-demand items like anti-parasitic drugs—impacting sales continuity at our Tehran locations. Regulatory complexity also remains; navigating permits under Iran’s Veterinary Services Act requires dedicated administrative resources that indirectly affect sales team efficiency.</w:t>
      </w:r>
    </w:p>
    <w:bookmarkEnd w:id="24"/>
    <w:bookmarkStart w:id="25" w:name="X564fa4c802416031866481f2656b0b263460c60"/>
    <w:p>
      <w:pPr>
        <w:pStyle w:val="Heading2"/>
      </w:pPr>
      <w:r>
        <w:t xml:space="preserve">Strategic Recommendations for Enhanced Sales Performance</w:t>
      </w:r>
    </w:p>
    <w:p>
      <w:pPr>
        <w:pStyle w:val="FirstParagraph"/>
      </w:pPr>
      <w:r>
        <w:t xml:space="preserve">To sustain and grow veterinary sales in Tehran, we recommend three targeted actions:</w:t>
      </w:r>
    </w:p>
    <w:p>
      <w:pPr>
        <w:numPr>
          <w:ilvl w:val="0"/>
          <w:numId w:val="1001"/>
        </w:numPr>
        <w:pStyle w:val="Compact"/>
      </w:pPr>
      <w:r>
        <w:rPr>
          <w:bCs/>
          <w:b/>
        </w:rPr>
        <w:t xml:space="preserve">Localize Product Offerings</w:t>
      </w:r>
      <w:r>
        <w:t xml:space="preserve">: Partner with Iranian pharmaceutical firms to develop region-specific formulations (e.g., heat-tolerant vaccines for Tehran’s summer climate), reducing import dependency and improving product availability by 40%.</w:t>
      </w:r>
    </w:p>
    <w:p>
      <w:pPr>
        <w:numPr>
          <w:ilvl w:val="0"/>
          <w:numId w:val="1001"/>
        </w:numPr>
        <w:pStyle w:val="Compact"/>
      </w:pPr>
      <w:r>
        <w:rPr>
          <w:bCs/>
          <w:b/>
        </w:rPr>
        <w:t xml:space="preserve">Expand Preventive Care Bundles</w:t>
      </w:r>
      <w:r>
        <w:t xml:space="preserve">: Create "Tehran Pet Wellness Passes" combining vaccinations, diagnostics, and nutritional advice at a fixed quarterly price—proven to increase client retention by 28% in pilot clinics.</w:t>
      </w:r>
    </w:p>
    <w:p>
      <w:pPr>
        <w:numPr>
          <w:ilvl w:val="0"/>
          <w:numId w:val="1001"/>
        </w:numPr>
        <w:pStyle w:val="Compact"/>
      </w:pPr>
      <w:r>
        <w:rPr>
          <w:bCs/>
          <w:b/>
        </w:rPr>
        <w:t xml:space="preserve">Leverage Data Analytics</w:t>
      </w:r>
      <w:r>
        <w:t xml:space="preserve">: Implement AI-driven sales forecasting for Tehran markets using historical data on seasonal demand (e.g., spike in pet adoption post-Eid holidays), allowing proactive inventory management for veterinary supplies.</w:t>
      </w:r>
    </w:p>
    <w:bookmarkEnd w:id="25"/>
    <w:bookmarkStart w:id="26" w:name="X8971f38ea1d9062e43c8e2d82aac8fc3dacbf4a"/>
    <w:p>
      <w:pPr>
        <w:pStyle w:val="Heading2"/>
      </w:pPr>
      <w:r>
        <w:t xml:space="preserve">Conclusion: Future Outlook for Veterinary Sales in Iran Tehran</w:t>
      </w:r>
    </w:p>
    <w:p>
      <w:pPr>
        <w:pStyle w:val="FirstParagraph"/>
      </w:pPr>
      <w:r>
        <w:t xml:space="preserve">The Q3 2023 sales report confirms Tehran’s position as the most lucrative veterinary market in Iran, with revenue growth outpacing the national average. This trajectory aligns with Iran’s broader pet care industry expansion, projected to reach $1.8B by 2025 (Source: Iranian Economic Research Institute). For our veterinary business, continued success hinges on deepening local engagement—understanding Tehran-specific client needs, adapting services to economic realities, and maintaining compliance within Iran’s evolving regulatory framework. The next quarter will focus on scaling the "Tehran Pet Wellness Pass" across all clinics in the metropolitan area as a cornerstone of sustainable sales growth. Our veterinarian team’s clinical expertise, when combined with data-driven commercial strategies, ensures we remain at the forefront of veterinary service excellence in Iran’s capital city.</w:t>
      </w:r>
    </w:p>
    <w:p>
      <w:pPr>
        <w:pStyle w:val="BodyText"/>
      </w:pPr>
      <w:r>
        <w:rPr>
          <w:bCs/>
          <w:b/>
        </w:rPr>
        <w:t xml:space="preserve">Prepared For:</w:t>
      </w:r>
      <w:r>
        <w:t xml:space="preserve"> </w:t>
      </w:r>
      <w:r>
        <w:t xml:space="preserve">Tehran Veterinary Association &amp; Management Board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Veterinary Sales Performance Report Q3 2023</dc:title>
  <dc:creator/>
  <dc:language>en</dc:language>
  <cp:keywords/>
  <dcterms:created xsi:type="dcterms:W3CDTF">2025-12-12T20:16:34Z</dcterms:created>
  <dcterms:modified xsi:type="dcterms:W3CDTF">2025-12-12T20:16:34Z</dcterms:modified>
</cp:coreProperties>
</file>

<file path=docProps/custom.xml><?xml version="1.0" encoding="utf-8"?>
<Properties xmlns="http://schemas.openxmlformats.org/officeDocument/2006/custom-properties" xmlns:vt="http://schemas.openxmlformats.org/officeDocument/2006/docPropsVTypes"/>
</file>