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8" w:name="X30c8f62eda4d618816950cd31d3a57d3ad60012"/>
    <w:p>
      <w:pPr>
        <w:pStyle w:val="Heading1"/>
      </w:pPr>
      <w:r>
        <w:t xml:space="preserve">Comprehensive Sales Report: Veterinary Services Performance in Morocco Casablanca (Q3 2023)</w:t>
      </w:r>
    </w:p>
    <w:p>
      <w:pPr>
        <w:pStyle w:val="FirstParagraph"/>
      </w:pPr>
      <w:r>
        <w:rPr>
          <w:bCs/>
          <w:b/>
        </w:rPr>
        <w:t xml:space="preserve">Prepared For:</w:t>
      </w:r>
      <w:r>
        <w:t xml:space="preserve"> </w:t>
      </w:r>
      <w:r>
        <w:t xml:space="preserve">Clinic Management &amp; Stakeholders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Sales Report details the operational and financial performance of our veterinary services across Morocco Casablanca during Q3 2023. The report underscores significant growth in client acquisition and service utilization, positioning our clinic as a market leader in urban veterinary care. Key highlights include a 28% year-over-year sales increase, driven by strategic expansions in preventive care and premium pet wellness programs tailored to Morocco Casablanca's unique market dynamics. As the premier</w:t>
      </w:r>
      <w:r>
        <w:t xml:space="preserve"> </w:t>
      </w:r>
      <w:r>
        <w:rPr>
          <w:bCs/>
          <w:b/>
        </w:rPr>
        <w:t xml:space="preserve">Veterinarian</w:t>
      </w:r>
      <w:r>
        <w:t xml:space="preserve"> </w:t>
      </w:r>
      <w:r>
        <w:t xml:space="preserve">practice in Casablanca, we have solidified our reputation for excellence within Morocco's rapidly evolving pet healthcare sector.</w:t>
      </w:r>
    </w:p>
    <w:bookmarkEnd w:id="20"/>
    <w:bookmarkStart w:id="21" w:name="sales-performance-overview"/>
    <w:p>
      <w:pPr>
        <w:pStyle w:val="Heading2"/>
      </w:pPr>
      <w:r>
        <w:t xml:space="preserve">2. Sales Performance Overview</w:t>
      </w:r>
    </w:p>
    <w:p>
      <w:pPr>
        <w:pStyle w:val="FirstParagraph"/>
      </w:pPr>
      <w:r>
        <w:t xml:space="preserve">The Q3 period marked a pivotal growth phase for our Casablanca operations. Total revenue reached MAD 1,875,000 (Moroccan Dirhams), representing a 28% increase from Q3 2022. This achievement is particularly notable in Morocco Casablanca's competitive veterinary landscape, where most clinics reported only 5-10% growth during the same period. Key drivers included:</w:t>
      </w:r>
    </w:p>
    <w:p>
      <w:pPr>
        <w:numPr>
          <w:ilvl w:val="0"/>
          <w:numId w:val="1001"/>
        </w:numPr>
        <w:pStyle w:val="Compact"/>
      </w:pPr>
      <w:r>
        <w:rPr>
          <w:bCs/>
          <w:b/>
        </w:rPr>
        <w:t xml:space="preserve">Preventive Care Packages:</w:t>
      </w:r>
      <w:r>
        <w:t xml:space="preserve"> </w:t>
      </w:r>
      <w:r>
        <w:t xml:space="preserve">Up 35% YoY (MAD 420,000 revenue) – fueled by rising pet ownership in Casablanca's middle-class neighborhoods</w:t>
      </w:r>
    </w:p>
    <w:p>
      <w:pPr>
        <w:numPr>
          <w:ilvl w:val="0"/>
          <w:numId w:val="1001"/>
        </w:numPr>
        <w:pStyle w:val="Compact"/>
      </w:pPr>
      <w:r>
        <w:rPr>
          <w:bCs/>
          <w:b/>
        </w:rPr>
        <w:t xml:space="preserve">Digital Consultations:</w:t>
      </w:r>
      <w:r>
        <w:t xml:space="preserve"> </w:t>
      </w:r>
      <w:r>
        <w:t xml:space="preserve">Surged by 72% (MAD 185,000 revenue) – leveraging mobile adoption trends in Morocco</w:t>
      </w:r>
    </w:p>
    <w:p>
      <w:pPr>
        <w:numPr>
          <w:ilvl w:val="0"/>
          <w:numId w:val="1001"/>
        </w:numPr>
        <w:pStyle w:val="Compact"/>
      </w:pPr>
      <w:r>
        <w:rPr>
          <w:bCs/>
          <w:b/>
        </w:rPr>
        <w:t xml:space="preserve">Specialized Surgical Services:</w:t>
      </w:r>
      <w:r>
        <w:t xml:space="preserve"> </w:t>
      </w:r>
      <w:r>
        <w:t xml:space="preserve">Growth of 22% (MAD 310,000 revenue) – meeting demand for advanced procedures</w:t>
      </w:r>
    </w:p>
    <w:p>
      <w:pPr>
        <w:pStyle w:val="FirstParagraph"/>
      </w:pPr>
      <w:r>
        <w:t xml:space="preserve">The clinic maintained a 94% client retention rate, significantly outperforming the Morocco Casablanca industry average of 78%. This success stems from our localized approach to pet healthcare in Casablanca, including multilingual support (Arabic/French/English) and culturally sensitive care protocols.</w:t>
      </w:r>
    </w:p>
    <w:bookmarkEnd w:id="21"/>
    <w:bookmarkStart w:id="22" w:name="service-breakdown-analysis"/>
    <w:p>
      <w:pPr>
        <w:pStyle w:val="Heading2"/>
      </w:pPr>
      <w:r>
        <w:t xml:space="preserve">3. Service Breakdown Analysis</w:t>
      </w:r>
    </w:p>
    <w:p>
      <w:pPr>
        <w:pStyle w:val="FirstParagraph"/>
      </w:pPr>
      <w:r>
        <w:t xml:space="preserve">Our revenue streams reflect Morocco Casablanca's evolving pet owner priorities: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Service Category</w:t>
            </w:r>
          </w:p>
        </w:tc>
        <w:tc>
          <w:tcPr/>
          <w:p>
            <w:pPr>
              <w:pStyle w:val="Compact"/>
              <w:jc w:val="left"/>
            </w:pPr>
            <w:r>
              <w:t xml:space="preserve">Q3 2023 Revenue (MAD)</w:t>
            </w:r>
          </w:p>
        </w:tc>
        <w:tc>
          <w:tcPr/>
          <w:p>
            <w:pPr>
              <w:pStyle w:val="Compact"/>
              <w:jc w:val="left"/>
            </w:pPr>
            <w:r>
              <w:t xml:space="preserve">YoY Change</w:t>
            </w:r>
          </w:p>
        </w:tc>
        <w:tc>
          <w:tcPr/>
          <w:p>
            <w:pPr>
              <w:pStyle w:val="Compact"/>
              <w:jc w:val="left"/>
            </w:pPr>
            <w:r>
              <w:t xml:space="preserve">% of Total Sales</w:t>
            </w:r>
          </w:p>
        </w:tc>
        <w:tc>
          <w:tcPr/>
          <w:p>
            <w:pPr>
              <w:pStyle w:val="Compact"/>
            </w:pPr>
          </w:p>
        </w:tc>
        <w:tc>
          <w:tcPr/>
          <w:p>
            <w:pPr>
              <w:pStyle w:val="Compact"/>
            </w:pPr>
          </w:p>
        </w:tc>
      </w:tr>
      <w:tr>
        <w:tc>
          <w:tcPr/>
          <w:p>
            <w:pPr>
              <w:pStyle w:val="Compact"/>
              <w:jc w:val="left"/>
            </w:pPr>
            <w:r>
              <w:t xml:space="preserve">Diagnostics &amp; Lab Tests</w:t>
            </w:r>
          </w:p>
        </w:tc>
        <w:tc>
          <w:tcPr/>
          <w:p>
            <w:pPr>
              <w:pStyle w:val="Compact"/>
              <w:jc w:val="left"/>
            </w:pPr>
            <w:r>
              <w:t xml:space="preserve">415,000</w:t>
            </w:r>
          </w:p>
        </w:tc>
        <w:tc>
          <w:tcPr/>
          <w:p>
            <w:pPr>
              <w:pStyle w:val="Compact"/>
              <w:jc w:val="left"/>
            </w:pPr>
            <w:r>
              <w:t xml:space="preserve">+18%</w:t>
            </w:r>
          </w:p>
        </w:tc>
        <w:tc>
          <w:tcPr/>
          <w:p>
            <w:pPr>
              <w:pStyle w:val="Compact"/>
              <w:jc w:val="left"/>
            </w:pPr>
            <w:r>
              <w:t xml:space="preserve">22.1%</w:t>
            </w:r>
          </w:p>
        </w:tc>
        <w:tc>
          <w:tcPr/>
          <w:p>
            <w:pPr>
              <w:pStyle w:val="Compact"/>
            </w:pPr>
          </w:p>
        </w:tc>
        <w:tc>
          <w:tcPr/>
          <w:p>
            <w:pPr>
              <w:pStyle w:val="Compact"/>
            </w:pPr>
          </w:p>
        </w:tc>
      </w:tr>
      <w:tr>
        <w:tc>
          <w:tcPr/>
          <w:p>
            <w:pPr>
              <w:pStyle w:val="Compact"/>
              <w:jc w:val="left"/>
            </w:pPr>
            <w:r>
              <w:t xml:space="preserve">Vaccination Programs</w:t>
            </w:r>
          </w:p>
        </w:tc>
        <w:tc>
          <w:tcPr/>
          <w:p>
            <w:pPr>
              <w:pStyle w:val="Compact"/>
              <w:jc w:val="left"/>
            </w:pPr>
            <w:r>
              <w:t xml:space="preserve">325,000</w:t>
            </w:r>
          </w:p>
        </w:tc>
        <w:tc>
          <w:tcPr/>
          <w:p>
            <w:pPr>
              <w:pStyle w:val="Compact"/>
              <w:jc w:val="left"/>
            </w:pPr>
            <w:r>
              <w:t xml:space="preserve">Total Preventive Care</w:t>
            </w:r>
          </w:p>
        </w:tc>
        <w:tc>
          <w:tcPr/>
          <w:p>
            <w:pPr>
              <w:pStyle w:val="Compact"/>
              <w:jc w:val="left"/>
            </w:pPr>
            <w:r>
              <w:t xml:space="preserve">420,000</w:t>
            </w:r>
          </w:p>
        </w:tc>
        <w:tc>
          <w:tcPr/>
          <w:p>
            <w:pPr>
              <w:pStyle w:val="Compact"/>
              <w:jc w:val="left"/>
            </w:pPr>
            <w:r>
              <w:t xml:space="preserve">+35%</w:t>
            </w:r>
          </w:p>
        </w:tc>
        <w:tc>
          <w:tcPr/>
          <w:p>
            <w:pPr>
              <w:pStyle w:val="Compact"/>
              <w:jc w:val="left"/>
            </w:pPr>
            <w:r>
              <w:t xml:space="preserve">22.4%</w:t>
            </w:r>
          </w:p>
        </w:tc>
      </w:tr>
      <w:tr>
        <w:tc>
          <w:tcPr/>
          <w:p>
            <w:pPr>
              <w:pStyle w:val="Compact"/>
              <w:jc w:val="left"/>
            </w:pPr>
            <w:r>
              <w:t xml:space="preserve">Dental Procedures</w:t>
            </w:r>
          </w:p>
        </w:tc>
        <w:tc>
          <w:tcPr/>
          <w:p>
            <w:pPr>
              <w:pStyle w:val="Compact"/>
              <w:jc w:val="left"/>
            </w:pPr>
            <w:r>
              <w:t xml:space="preserve">195,000</w:t>
            </w:r>
          </w:p>
        </w:tc>
        <w:tc>
          <w:tcPr/>
          <w:p>
            <w:pPr>
              <w:pStyle w:val="Compact"/>
              <w:jc w:val="left"/>
            </w:pPr>
            <w:r>
              <w:t xml:space="preserve">+15%</w:t>
            </w:r>
          </w:p>
        </w:tc>
        <w:tc>
          <w:tcPr/>
          <w:p>
            <w:pPr>
              <w:pStyle w:val="Compact"/>
              <w:jc w:val="left"/>
            </w:pPr>
            <w:r>
              <w:t xml:space="preserve">10.4%</w:t>
            </w:r>
          </w:p>
        </w:tc>
        <w:tc>
          <w:tcPr/>
          <w:p>
            <w:pPr>
              <w:pStyle w:val="Compact"/>
            </w:pPr>
          </w:p>
        </w:tc>
        <w:tc>
          <w:tcPr/>
          <w:p>
            <w:pPr>
              <w:pStyle w:val="Compact"/>
            </w:pPr>
          </w:p>
        </w:tc>
      </w:tr>
      <w:tr>
        <w:tc>
          <w:tcPr/>
          <w:p>
            <w:pPr>
              <w:pStyle w:val="Compact"/>
              <w:jc w:val="left"/>
            </w:pPr>
            <w:r>
              <w:t xml:space="preserve">Total Surgical Services</w:t>
            </w:r>
          </w:p>
        </w:tc>
        <w:tc>
          <w:tcPr/>
          <w:p>
            <w:pPr>
              <w:pStyle w:val="Compact"/>
              <w:jc w:val="left"/>
            </w:pPr>
            <w:r>
              <w:t xml:space="preserve">310,000</w:t>
            </w:r>
          </w:p>
        </w:tc>
        <w:tc>
          <w:tcPr/>
          <w:p>
            <w:pPr>
              <w:pStyle w:val="Compact"/>
              <w:jc w:val="left"/>
            </w:pPr>
            <w:r>
              <w:t xml:space="preserve">+22%</w:t>
            </w:r>
          </w:p>
        </w:tc>
        <w:tc>
          <w:tcPr/>
          <w:p>
            <w:pPr>
              <w:pStyle w:val="Compact"/>
              <w:jc w:val="left"/>
            </w:pPr>
            <w:r>
              <w:t xml:space="preserve">16.5%</w:t>
            </w:r>
          </w:p>
        </w:tc>
        <w:tc>
          <w:tcPr/>
          <w:p>
            <w:pPr>
              <w:pStyle w:val="Compact"/>
            </w:pPr>
          </w:p>
        </w:tc>
        <w:tc>
          <w:tcPr/>
          <w:p>
            <w:pPr>
              <w:pStyle w:val="Compact"/>
            </w:pPr>
          </w:p>
        </w:tc>
      </w:tr>
      <w:tr>
        <w:tc>
          <w:tcPr/>
          <w:p>
            <w:pPr>
              <w:pStyle w:val="Compact"/>
              <w:jc w:val="left"/>
            </w:pPr>
            <w:r>
              <w:t xml:space="preserve">Pharmacy &amp; Nutraceuticals</w:t>
            </w:r>
          </w:p>
        </w:tc>
        <w:tc>
          <w:tcPr/>
          <w:p>
            <w:pPr>
              <w:pStyle w:val="Compact"/>
              <w:jc w:val="left"/>
            </w:pPr>
            <w:r>
              <w:t xml:space="preserve">385,000</w:t>
            </w:r>
          </w:p>
        </w:tc>
        <w:tc>
          <w:tcPr/>
          <w:p>
            <w:pPr>
              <w:pStyle w:val="Compact"/>
              <w:jc w:val="left"/>
            </w:pPr>
            <w:r>
              <w:t xml:space="preserve">+27%</w:t>
            </w:r>
          </w:p>
        </w:tc>
        <w:tc>
          <w:tcPr/>
          <w:p>
            <w:pPr>
              <w:pStyle w:val="Compact"/>
              <w:jc w:val="left"/>
            </w:pPr>
            <w:r>
              <w:t xml:space="preserve">20.5%</w:t>
            </w:r>
          </w:p>
        </w:tc>
        <w:tc>
          <w:tcPr/>
          <w:p>
            <w:pPr>
              <w:pStyle w:val="Compact"/>
            </w:pPr>
          </w:p>
        </w:tc>
        <w:tc>
          <w:tcPr/>
          <w:p>
            <w:pPr>
              <w:pStyle w:val="Compact"/>
            </w:pPr>
          </w:p>
        </w:tc>
      </w:tr>
      <w:tr>
        <w:tc>
          <w:tcPr/>
          <w:p>
            <w:pPr>
              <w:pStyle w:val="Compact"/>
              <w:jc w:val="left"/>
            </w:pPr>
            <w:r>
              <w:t xml:space="preserve">Total Product Sales</w:t>
            </w:r>
          </w:p>
        </w:tc>
        <w:tc>
          <w:tcPr/>
          <w:p>
            <w:pPr>
              <w:pStyle w:val="Compact"/>
              <w:jc w:val="left"/>
            </w:pPr>
            <w:r>
              <w:t xml:space="preserve">385,000</w:t>
            </w:r>
          </w:p>
        </w:tc>
        <w:tc>
          <w:tcPr/>
          <w:p>
            <w:pPr>
              <w:pStyle w:val="Compact"/>
              <w:jc w:val="left"/>
            </w:pPr>
            <w:r>
              <w:t xml:space="preserve">+27%</w:t>
            </w:r>
          </w:p>
        </w:tc>
        <w:tc>
          <w:tcPr/>
          <w:p>
            <w:pPr>
              <w:pStyle w:val="Compact"/>
              <w:jc w:val="left"/>
            </w:pPr>
            <w:r>
              <w:t xml:space="preserve">20.5%</w:t>
            </w:r>
          </w:p>
        </w:tc>
        <w:tc>
          <w:tcPr/>
          <w:p>
            <w:pPr>
              <w:pStyle w:val="Compact"/>
            </w:pPr>
          </w:p>
        </w:tc>
        <w:tc>
          <w:tcPr/>
          <w:p>
            <w:pPr>
              <w:pStyle w:val="Compact"/>
            </w:pPr>
          </w:p>
        </w:tc>
      </w:tr>
    </w:tbl>
    <w:p>
      <w:pPr>
        <w:pStyle w:val="BodyText"/>
      </w:pPr>
      <w:r>
        <w:t xml:space="preserve">The data reveals a clear shift toward proactive healthcare in Morocco Casablanca, with preventive services now constituting 42.9% of total revenue – up from 31% in Q3 2022. This trend aligns with government initiatives promoting pet health awareness across Moroccan urban centers.</w:t>
      </w:r>
    </w:p>
    <w:bookmarkEnd w:id="22"/>
    <w:bookmarkStart w:id="23" w:name="market-positioning-in-morocco-casablanca"/>
    <w:p>
      <w:pPr>
        <w:pStyle w:val="Heading2"/>
      </w:pPr>
      <w:r>
        <w:t xml:space="preserve">4. Market Positioning in Morocco Casablanca</w:t>
      </w:r>
    </w:p>
    <w:p>
      <w:pPr>
        <w:pStyle w:val="FirstParagraph"/>
      </w:pPr>
      <w:r>
        <w:t xml:space="preserve">Casablanca represents 47% of Morocco's total veterinary market revenue, with our clinic commanding a 19% market share – the highest in the city. This leadership stems from three strategic differentiators:</w:t>
      </w:r>
    </w:p>
    <w:p>
      <w:pPr>
        <w:numPr>
          <w:ilvl w:val="0"/>
          <w:numId w:val="1002"/>
        </w:numPr>
        <w:pStyle w:val="Compact"/>
      </w:pPr>
      <w:r>
        <w:rPr>
          <w:bCs/>
          <w:b/>
        </w:rPr>
        <w:t xml:space="preserve">Localized Service Design:</w:t>
      </w:r>
      <w:r>
        <w:t xml:space="preserve"> </w:t>
      </w:r>
      <w:r>
        <w:t xml:space="preserve">We've integrated traditional Moroccan pet care practices (e.g., seasonal parasite prevention aligned with local climate patterns) into our standard protocols.</w:t>
      </w:r>
    </w:p>
    <w:p>
      <w:pPr>
        <w:numPr>
          <w:ilvl w:val="0"/>
          <w:numId w:val="1002"/>
        </w:numPr>
        <w:pStyle w:val="Compact"/>
      </w:pPr>
      <w:r>
        <w:rPr>
          <w:bCs/>
          <w:b/>
        </w:rPr>
        <w:t xml:space="preserve">Casablanca Neighborhood Outreach:</w:t>
      </w:r>
      <w:r>
        <w:t xml:space="preserve"> </w:t>
      </w:r>
      <w:r>
        <w:t xml:space="preserve">Mobile clinics serving 12 high-demand districts (including Ain Chock, Sidi Bernoussi, and Hay Mohammadi) increased client accessibility by 41%.</w:t>
      </w:r>
    </w:p>
    <w:p>
      <w:pPr>
        <w:numPr>
          <w:ilvl w:val="0"/>
          <w:numId w:val="1002"/>
        </w:numPr>
        <w:pStyle w:val="Compact"/>
      </w:pPr>
      <w:r>
        <w:rPr>
          <w:bCs/>
          <w:b/>
        </w:rPr>
        <w:t xml:space="preserve">Government Collaboration:</w:t>
      </w:r>
      <w:r>
        <w:t xml:space="preserve"> </w:t>
      </w:r>
      <w:r>
        <w:t xml:space="preserve">Partnership with Casablanca's Municipal Health Department for free rabies vaccination drives attracted 3,800 new clients – a key growth engine for our</w:t>
      </w:r>
      <w:r>
        <w:t xml:space="preserve"> </w:t>
      </w:r>
      <w:r>
        <w:rPr>
          <w:bCs/>
          <w:b/>
        </w:rPr>
        <w:t xml:space="preserve">Veterinarian</w:t>
      </w:r>
      <w:r>
        <w:t xml:space="preserve"> </w:t>
      </w:r>
      <w:r>
        <w:t xml:space="preserve">practice.</w:t>
      </w:r>
    </w:p>
    <w:bookmarkEnd w:id="23"/>
    <w:bookmarkStart w:id="24" w:name="customer-insights-behavioral-trends"/>
    <w:p>
      <w:pPr>
        <w:pStyle w:val="Heading2"/>
      </w:pPr>
      <w:r>
        <w:t xml:space="preserve">5. Customer Insights &amp; Behavioral Trends</w:t>
      </w:r>
    </w:p>
    <w:p>
      <w:pPr>
        <w:pStyle w:val="FirstParagraph"/>
      </w:pPr>
      <w:r>
        <w:t xml:space="preserve">A post-visit survey of 1,250 Casablanca clients revealed:</w:t>
      </w:r>
    </w:p>
    <w:p>
      <w:pPr>
        <w:numPr>
          <w:ilvl w:val="0"/>
          <w:numId w:val="1003"/>
        </w:numPr>
        <w:pStyle w:val="Compact"/>
      </w:pPr>
      <w:r>
        <w:t xml:space="preserve">87%** of respondents cited "trust in our veterinary expertise" as the primary reason for choosing us over competitors.</w:t>
      </w:r>
    </w:p>
    <w:p>
      <w:pPr>
        <w:numPr>
          <w:ilvl w:val="0"/>
          <w:numId w:val="1003"/>
        </w:numPr>
        <w:pStyle w:val="Compact"/>
      </w:pPr>
      <w:r>
        <w:t xml:space="preserve">73% of new clients in Q3 were aged 25-44 – reflecting Morocco's growing young urban pet owner demographic.</w:t>
      </w:r>
    </w:p>
    <w:p>
      <w:pPr>
        <w:numPr>
          <w:ilvl w:val="0"/>
          <w:numId w:val="1003"/>
        </w:numPr>
        <w:pStyle w:val="Compact"/>
      </w:pPr>
      <w:r>
        <w:t xml:space="preserve">Pet insurance adoption increased by 68% among Casablanca residents, with our clinic offering the only locally tailored insurance partnership in Morocco.</w:t>
      </w:r>
    </w:p>
    <w:p>
      <w:pPr>
        <w:pStyle w:val="FirstParagraph"/>
      </w:pPr>
      <w:r>
        <w:t xml:space="preserve">Notably, clients increasingly seek holistic care options – a trend we've capitalized on through our new "Moroccan Pet Wellness" program featuring locally sourced supplements and Ayurvedic-inspired treatments approved by Moroccan veterinary authorities.</w:t>
      </w:r>
    </w:p>
    <w:bookmarkEnd w:id="24"/>
    <w:bookmarkStart w:id="25" w:name="challenges-strategic-opportunities"/>
    <w:p>
      <w:pPr>
        <w:pStyle w:val="Heading2"/>
      </w:pPr>
      <w:r>
        <w:t xml:space="preserve">6. Challenges &amp; Strategic Opportunities</w:t>
      </w:r>
    </w:p>
    <w:p>
      <w:pPr>
        <w:pStyle w:val="FirstParagraph"/>
      </w:pPr>
      <w:r>
        <w:t xml:space="preserve">The Morocco Casablanca market presents both challenges and opportunities: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Strategic Response</w:t>
            </w:r>
          </w:p>
        </w:tc>
        <w:tc>
          <w:tcPr/>
          <w:p>
            <w:pPr>
              <w:pStyle w:val="Compact"/>
              <w:jc w:val="left"/>
            </w:pPr>
            <w:r>
              <w:t xml:space="preserve">Expected Impact (Q4 2023)</w:t>
            </w:r>
          </w:p>
        </w:tc>
      </w:tr>
      <w:tr>
        <w:tc>
          <w:tcPr/>
          <w:p>
            <w:pPr>
              <w:pStyle w:val="Compact"/>
              <w:jc w:val="left"/>
            </w:pPr>
            <w:r>
              <w:t xml:space="preserve">Rising cost of imported veterinary drugs (14% YoY)</w:t>
            </w:r>
          </w:p>
        </w:tc>
        <w:tc>
          <w:tcPr/>
          <w:p>
            <w:pPr>
              <w:pStyle w:val="Compact"/>
              <w:jc w:val="left"/>
            </w:pPr>
            <w:r>
              <w:t xml:space="preserve">Leverage Morocco's new pharmaceutical manufacturing incentives to source 30% of products locally</w:t>
            </w:r>
          </w:p>
        </w:tc>
        <w:tc>
          <w:tcPr/>
          <w:p>
            <w:pPr>
              <w:pStyle w:val="Compact"/>
              <w:jc w:val="left"/>
            </w:pPr>
            <w:r>
              <w:t xml:space="preserve">Reduced costs by 8-12%, improving clinic margins</w:t>
            </w:r>
          </w:p>
        </w:tc>
      </w:tr>
      <w:tr>
        <w:tc>
          <w:tcPr/>
          <w:p>
            <w:pPr>
              <w:pStyle w:val="Compact"/>
              <w:jc w:val="left"/>
            </w:pPr>
            <w:r>
              <w:t xml:space="preserve">Competition from low-cost clinics in Casablanca outskirts</w:t>
            </w:r>
          </w:p>
        </w:tc>
        <w:tc>
          <w:tcPr/>
          <w:p>
            <w:pPr>
              <w:pStyle w:val="Compact"/>
              <w:jc w:val="left"/>
            </w:pPr>
            <w:r>
              <w:t xml:space="preserve">Launch premium "Casablanca Platinum Care" subscription (MAD 450/month)</w:t>
            </w:r>
          </w:p>
        </w:tc>
        <w:tc>
          <w:tcPr/>
          <w:p>
            <w:pPr>
              <w:pStyle w:val="Compact"/>
              <w:jc w:val="left"/>
            </w:pPr>
            <w:r>
              <w:t xml:space="preserve">Projected 25% new revenue stream by December 2023</w:t>
            </w:r>
          </w:p>
        </w:tc>
      </w:tr>
    </w:tbl>
    <w:bookmarkEnd w:id="25"/>
    <w:bookmarkStart w:id="26" w:name="Xc795dbe2fb29dee9b9292a53e2ef78d9c55c879"/>
    <w:p>
      <w:pPr>
        <w:pStyle w:val="Heading2"/>
      </w:pPr>
      <w:r>
        <w:t xml:space="preserve">7. Future Growth Strategy for Morocco Casablanca</w:t>
      </w:r>
    </w:p>
    <w:p>
      <w:pPr>
        <w:pStyle w:val="FirstParagraph"/>
      </w:pPr>
      <w:r>
        <w:t xml:space="preserve">Moving forward, our roadmap focuses on deepening our leadership in the Morocco Casablanca veterinary sector through:</w:t>
      </w:r>
    </w:p>
    <w:p>
      <w:pPr>
        <w:numPr>
          <w:ilvl w:val="0"/>
          <w:numId w:val="1004"/>
        </w:numPr>
        <w:pStyle w:val="Compact"/>
      </w:pPr>
      <w:r>
        <w:rPr>
          <w:bCs/>
          <w:b/>
        </w:rPr>
        <w:t xml:space="preserve">AI-Powered Predictive Health Tools:</w:t>
      </w:r>
      <w:r>
        <w:t xml:space="preserve"> </w:t>
      </w:r>
      <w:r>
        <w:t xml:space="preserve">Implementing machine learning for early disease detection in local pet populations (launching Q1 2024).</w:t>
      </w:r>
    </w:p>
    <w:p>
      <w:pPr>
        <w:numPr>
          <w:ilvl w:val="0"/>
          <w:numId w:val="1004"/>
        </w:numPr>
        <w:pStyle w:val="Compact"/>
      </w:pPr>
      <w:r>
        <w:rPr>
          <w:bCs/>
          <w:b/>
        </w:rPr>
        <w:t xml:space="preserve">Casablanca Pet Parent Community:</w:t>
      </w:r>
      <w:r>
        <w:t xml:space="preserve"> </w:t>
      </w:r>
      <w:r>
        <w:t xml:space="preserve">Creating free neighborhood wellness workshops addressing seasonal health concerns specific to Moroccan urban environments.</w:t>
      </w:r>
    </w:p>
    <w:p>
      <w:pPr>
        <w:numPr>
          <w:ilvl w:val="0"/>
          <w:numId w:val="1004"/>
        </w:numPr>
        <w:pStyle w:val="Compact"/>
      </w:pPr>
      <w:r>
        <w:rPr>
          <w:bCs/>
          <w:b/>
        </w:rPr>
        <w:t xml:space="preserve">Digital Expansion:</w:t>
      </w:r>
      <w:r>
        <w:t xml:space="preserve"> </w:t>
      </w:r>
      <w:r>
        <w:t xml:space="preserve">Developing a dedicated Moroccan Arabic-speaking telemedicine platform to serve remote Casablanca suburbs.</w:t>
      </w:r>
    </w:p>
    <w:bookmarkEnd w:id="26"/>
    <w:bookmarkStart w:id="27" w:name="conclusion"/>
    <w:p>
      <w:pPr>
        <w:pStyle w:val="Heading2"/>
      </w:pPr>
      <w:r>
        <w:t xml:space="preserve">8. Conclusion</w:t>
      </w:r>
    </w:p>
    <w:p>
      <w:pPr>
        <w:pStyle w:val="FirstParagraph"/>
      </w:pPr>
      <w:r>
        <w:t xml:space="preserve">This Sales Report confirms that our veterinary practice in Morocco Casablanca has not only achieved robust financial performance but has also established a model for culturally attuned pet healthcare in North Africa. The 28% revenue growth underscores the viability of premium, community-centered veterinary services within Morocco's urban markets. As the leading</w:t>
      </w:r>
      <w:r>
        <w:t xml:space="preserve"> </w:t>
      </w:r>
      <w:r>
        <w:rPr>
          <w:bCs/>
          <w:b/>
        </w:rPr>
        <w:t xml:space="preserve">Veterinarian</w:t>
      </w:r>
      <w:r>
        <w:t xml:space="preserve"> </w:t>
      </w:r>
      <w:r>
        <w:t xml:space="preserve">practice in Casablanca, we are positioned to drive industry standards while addressing unique Moroccan pet health needs.</w:t>
      </w:r>
    </w:p>
    <w:p>
      <w:pPr>
        <w:pStyle w:val="BodyText"/>
      </w:pPr>
      <w:r>
        <w:t xml:space="preserve">Our commitment to localized excellence – from adapting care protocols for Morocco's climate and culture to expanding digital access across Casablanca's diverse neighborhoods – has transformed our clinic into the preferred partner for 14,250+ pet-owning households. The data clearly indicates that by prioritizing the specific needs of Morocco Casablanca's animal health ecosystem, we are not just meeting market demand but actively shaping its future.</w:t>
      </w:r>
    </w:p>
    <w:p>
      <w:pPr>
        <w:pStyle w:val="BodyText"/>
      </w:pPr>
      <w:r>
        <w:rPr>
          <w:bCs/>
          <w:b/>
        </w:rPr>
        <w:t xml:space="preserve">Recommendation:</w:t>
      </w:r>
      <w:r>
        <w:t xml:space="preserve"> </w:t>
      </w:r>
      <w:r>
        <w:t xml:space="preserve">Allocate 15% of Q4 revenue toward scaling our neighborhood outreach programs to capture 30% more new clients in underserved Casablanca districts by year-end. This investment will further solidify our position as the preeminent veterinary partner across Morocco's largest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Morocco Casablanca</dc:title>
  <dc:creator/>
  <dc:language>en</dc:language>
  <cp:keywords/>
  <dcterms:created xsi:type="dcterms:W3CDTF">2026-07-23T20:55:31Z</dcterms:created>
  <dcterms:modified xsi:type="dcterms:W3CDTF">2026-07-23T20:55:31Z</dcterms:modified>
</cp:coreProperties>
</file>

<file path=docProps/custom.xml><?xml version="1.0" encoding="utf-8"?>
<Properties xmlns="http://schemas.openxmlformats.org/officeDocument/2006/custom-properties" xmlns:vt="http://schemas.openxmlformats.org/officeDocument/2006/docPropsVTypes"/>
</file>