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Auckland</w:t>
      </w:r>
      <w:r>
        <w:t xml:space="preserve"> </w:t>
      </w:r>
      <w:r>
        <w:t xml:space="preserve">New</w:t>
      </w:r>
      <w:r>
        <w:t xml:space="preserve"> </w:t>
      </w:r>
      <w:r>
        <w:t xml:space="preserve">Zealand</w:t>
      </w:r>
    </w:p>
    <w:bookmarkStart w:id="27" w:name="X247d8558ad2732bef2e7833008c79cc2c1f100c"/>
    <w:p>
      <w:pPr>
        <w:pStyle w:val="Heading1"/>
      </w:pPr>
      <w:r>
        <w:t xml:space="preserve">Quarterly Sales Performance Report: Premier Veterinary Clinic - Auckland, New Zealand</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For:</w:t>
      </w:r>
      <w:r>
        <w:t xml:space="preserve"> </w:t>
      </w:r>
      <w:r>
        <w:t xml:space="preserve">Executive Management &amp; Stakeholders</w:t>
      </w:r>
      <w:r>
        <w:br/>
      </w:r>
      <w:r>
        <w:rPr>
          <w:bCs/>
          <w:b/>
        </w:rPr>
        <w:t xml:space="preserve">Clinic:</w:t>
      </w:r>
      <w:r>
        <w:t xml:space="preserve"> </w:t>
      </w:r>
      <w:r>
        <w:t xml:space="preserve">Auckland Animal Care Centre (AAC) - Licensed Veterinarian Practice in New Zealand</w:t>
      </w:r>
    </w:p>
    <w:bookmarkStart w:id="20" w:name="executive-summary"/>
    <w:p>
      <w:pPr>
        <w:pStyle w:val="Heading2"/>
      </w:pPr>
      <w:r>
        <w:t xml:space="preserve">Executive Summary</w:t>
      </w:r>
    </w:p>
    <w:p>
      <w:pPr>
        <w:pStyle w:val="FirstParagraph"/>
      </w:pPr>
      <w:r>
        <w:t xml:space="preserve">The Premier Veterinary Clinic in Auckland has achieved exceptional sales performance during Q3 2023, reflecting strong community engagement and strategic positioning within New Zealand's growing pet care market. Total revenue reached NZD $487,500 for the quarter – a 15.7% year-over-year increase – demonstrating consistent growth in our veterinary services across Auckland. This success is directly attributable to our specialized</w:t>
      </w:r>
      <w:r>
        <w:t xml:space="preserve"> </w:t>
      </w:r>
      <w:r>
        <w:rPr>
          <w:bCs/>
          <w:b/>
        </w:rPr>
        <w:t xml:space="preserve">Veterinarian</w:t>
      </w:r>
      <w:r>
        <w:t xml:space="preserve"> </w:t>
      </w:r>
      <w:r>
        <w:t xml:space="preserve">expertise, community-focused care model, and deep understanding of New Zealand's unique animal health landscape. The report details key sales drivers, market trends specific to Auckland pet owners, and strategic recommendations for sustained growth in the New Zealand veterinary sector.</w:t>
      </w:r>
    </w:p>
    <w:bookmarkEnd w:id="20"/>
    <w:bookmarkStart w:id="21" w:name="Xa6eee8a58191b7f1ed8440309247aa0fec30362"/>
    <w:p>
      <w:pPr>
        <w:pStyle w:val="Heading2"/>
      </w:pPr>
      <w:r>
        <w:t xml:space="preserve">Key Sales Metrics: Auckland Market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Q3 2023 Revenue (NZD)</w:t>
            </w:r>
          </w:p>
        </w:tc>
        <w:tc>
          <w:tcPr/>
          <w:p>
            <w:pPr>
              <w:pStyle w:val="Compact"/>
              <w:jc w:val="left"/>
            </w:pPr>
            <w:r>
              <w:t xml:space="preserve">YoY Growth</w:t>
            </w:r>
          </w:p>
        </w:tc>
        <w:tc>
          <w:tcPr/>
          <w:p>
            <w:pPr>
              <w:pStyle w:val="Compact"/>
              <w:jc w:val="left"/>
            </w:pPr>
            <w:r>
              <w:t xml:space="preserve">% of Total Revenue</w:t>
            </w:r>
          </w:p>
        </w:tc>
      </w:tr>
      <w:tr>
        <w:tc>
          <w:tcPr/>
          <w:p>
            <w:pPr>
              <w:pStyle w:val="Compact"/>
              <w:jc w:val="left"/>
            </w:pPr>
            <w:r>
              <w:t xml:space="preserve">Veterinary Consultations &amp; Examinations</w:t>
            </w:r>
          </w:p>
        </w:tc>
        <w:tc>
          <w:tcPr/>
          <w:p>
            <w:pPr>
              <w:pStyle w:val="Compact"/>
              <w:jc w:val="left"/>
            </w:pPr>
            <w:r>
              <w:t xml:space="preserve">$185,200</w:t>
            </w:r>
          </w:p>
        </w:tc>
        <w:tc>
          <w:tcPr/>
          <w:p>
            <w:pPr>
              <w:pStyle w:val="Compact"/>
              <w:jc w:val="left"/>
            </w:pPr>
            <w:r>
              <w:t xml:space="preserve">12.3%</w:t>
            </w:r>
          </w:p>
        </w:tc>
        <w:tc>
          <w:tcPr/>
          <w:p>
            <w:pPr>
              <w:pStyle w:val="Compact"/>
              <w:jc w:val="left"/>
            </w:pPr>
            <w:r>
              <w:t xml:space="preserve">38.0%</w:t>
            </w:r>
          </w:p>
        </w:tc>
      </w:tr>
      <w:tr>
        <w:tc>
          <w:tcPr/>
          <w:p>
            <w:pPr>
              <w:pStyle w:val="Compact"/>
              <w:jc w:val="left"/>
            </w:pPr>
            <w:r>
              <w:t xml:space="preserve">Surgical Procedures (Spays/Neuters, Dental)</w:t>
            </w:r>
          </w:p>
        </w:tc>
        <w:tc>
          <w:tcPr/>
          <w:p>
            <w:pPr>
              <w:pStyle w:val="Compact"/>
              <w:jc w:val="left"/>
            </w:pPr>
            <w:r>
              <w:t xml:space="preserve">$98,750</w:t>
            </w:r>
          </w:p>
        </w:tc>
        <w:tc>
          <w:tcPr/>
          <w:p>
            <w:pPr>
              <w:pStyle w:val="Compact"/>
              <w:jc w:val="left"/>
            </w:pPr>
            <w:r>
              <w:t xml:space="preserve">19.1%</w:t>
            </w:r>
          </w:p>
        </w:tc>
        <w:tc>
          <w:tcPr/>
          <w:p>
            <w:pPr>
              <w:pStyle w:val="Compact"/>
              <w:jc w:val="left"/>
            </w:pPr>
            <w:r>
              <w:t xml:space="preserve">20.3%</w:t>
            </w:r>
          </w:p>
        </w:tc>
      </w:tr>
      <w:tr>
        <w:tc>
          <w:tcPr/>
          <w:p>
            <w:pPr>
              <w:pStyle w:val="Compact"/>
              <w:jc w:val="left"/>
            </w:pPr>
            <w:r>
              <w:t xml:space="preserve">Vaccinations &amp; Preventative Care</w:t>
            </w:r>
          </w:p>
        </w:tc>
        <w:tc>
          <w:tcPr/>
          <w:p>
            <w:pPr>
              <w:pStyle w:val="Compact"/>
              <w:jc w:val="left"/>
            </w:pPr>
            <w:r>
              <w:t xml:space="preserve">$72,400</w:t>
            </w:r>
          </w:p>
        </w:tc>
        <w:tc>
          <w:tcPr/>
          <w:p>
            <w:pPr>
              <w:pStyle w:val="Compact"/>
              <w:jc w:val="left"/>
            </w:pPr>
            <w:r>
              <w:t xml:space="preserve">8.6%</w:t>
            </w:r>
          </w:p>
        </w:tc>
        <w:tc>
          <w:tcPr/>
          <w:p>
            <w:pPr>
              <w:pStyle w:val="Compact"/>
              <w:jc w:val="left"/>
            </w:pPr>
            <w:r>
              <w:t xml:space="preserve">14.9%</w:t>
            </w:r>
          </w:p>
        </w:tc>
      </w:tr>
      <w:tr>
        <w:tc>
          <w:tcPr/>
          <w:p>
            <w:pPr>
              <w:pStyle w:val="Compact"/>
              <w:jc w:val="left"/>
            </w:pPr>
            <w:r>
              <w:t xml:space="preserve">Retail Product Sales (Food, Medications, Supplies)</w:t>
            </w:r>
          </w:p>
        </w:tc>
        <w:tc>
          <w:tcPr/>
          <w:p>
            <w:pPr>
              <w:pStyle w:val="Compact"/>
              <w:jc w:val="left"/>
            </w:pPr>
            <w:r>
              <w:t xml:space="preserve">$86,350</w:t>
            </w:r>
          </w:p>
        </w:tc>
        <w:tc>
          <w:tcPr/>
          <w:p>
            <w:pPr>
              <w:pStyle w:val="Compact"/>
              <w:jc w:val="left"/>
            </w:pPr>
            <w:r>
              <w:t xml:space="preserve">22.4%</w:t>
            </w:r>
          </w:p>
        </w:tc>
        <w:tc>
          <w:tcPr/>
          <w:p>
            <w:pPr>
              <w:pStyle w:val="Compact"/>
              <w:jc w:val="left"/>
            </w:pPr>
            <w:r>
              <w:t xml:space="preserve">17.7%</w:t>
            </w:r>
          </w:p>
        </w:tc>
      </w:tr>
      <w:tr>
        <w:tc>
          <w:tcPr/>
          <w:p>
            <w:pPr>
              <w:pStyle w:val="Compact"/>
              <w:jc w:val="left"/>
            </w:pPr>
            <w:r>
              <w:rPr>
                <w:bCs/>
                <w:b/>
              </w:rPr>
              <w:t xml:space="preserve">Total Revenue</w:t>
            </w:r>
          </w:p>
        </w:tc>
        <w:tc>
          <w:tcPr/>
          <w:p>
            <w:pPr>
              <w:pStyle w:val="Compact"/>
              <w:jc w:val="left"/>
            </w:pPr>
            <w:r>
              <w:rPr>
                <w:bCs/>
                <w:b/>
              </w:rPr>
              <w:t xml:space="preserve">$487,500</w:t>
            </w:r>
          </w:p>
        </w:tc>
        <w:tc>
          <w:tcPr/>
          <w:p>
            <w:pPr>
              <w:pStyle w:val="Compact"/>
              <w:jc w:val="left"/>
            </w:pPr>
            <w:r>
              <w:rPr>
                <w:bCs/>
                <w:b/>
              </w:rPr>
              <w:t xml:space="preserve">15.7%</w:t>
            </w:r>
          </w:p>
        </w:tc>
        <w:tc>
          <w:tcPr/>
          <w:p>
            <w:pPr>
              <w:pStyle w:val="Compact"/>
              <w:jc w:val="left"/>
            </w:pPr>
            <w:r>
              <w:rPr>
                <w:bCs/>
                <w:b/>
              </w:rPr>
              <w:t xml:space="preserve">100%</w:t>
            </w:r>
          </w:p>
        </w:tc>
      </w:tr>
    </w:tbl>
    <w:bookmarkEnd w:id="21"/>
    <w:bookmarkStart w:id="22" w:name="X5f86bc7f6d4db07e746a00582a62465f930a2f8"/>
    <w:p>
      <w:pPr>
        <w:pStyle w:val="Heading2"/>
      </w:pPr>
      <w:r>
        <w:t xml:space="preserve">Market Analysis: Auckland Pet Care Landscape</w:t>
      </w:r>
    </w:p>
    <w:p>
      <w:pPr>
        <w:pStyle w:val="FirstParagraph"/>
      </w:pPr>
      <w:r>
        <w:t xml:space="preserve">Auckland's pet ownership rate (68%) significantly exceeds New Zealand national averages, with 73% of households owning pets. This presents a unique opportunity for our</w:t>
      </w:r>
      <w:r>
        <w:t xml:space="preserve"> </w:t>
      </w:r>
      <w:r>
        <w:rPr>
          <w:bCs/>
          <w:b/>
        </w:rPr>
        <w:t xml:space="preserve">Veterinarian</w:t>
      </w:r>
      <w:r>
        <w:t xml:space="preserve"> </w:t>
      </w:r>
      <w:r>
        <w:t xml:space="preserve">practice to expand services. Key trends driving sales performance include:</w:t>
      </w:r>
    </w:p>
    <w:p>
      <w:pPr>
        <w:numPr>
          <w:ilvl w:val="0"/>
          <w:numId w:val="1001"/>
        </w:numPr>
        <w:pStyle w:val="Compact"/>
      </w:pPr>
      <w:r>
        <w:rPr>
          <w:bCs/>
          <w:b/>
        </w:rPr>
        <w:t xml:space="preserve">Rising Demand for Preventative Care:</w:t>
      </w:r>
      <w:r>
        <w:t xml:space="preserve"> </w:t>
      </w:r>
      <w:r>
        <w:t xml:space="preserve">Increased client education on pet wellness has boosted vaccinations (up 18%) and annual health checks (up 22%). This aligns with the New Zealand Veterinary Association's national guidelines emphasizing preventive medicine.</w:t>
      </w:r>
    </w:p>
    <w:p>
      <w:pPr>
        <w:numPr>
          <w:ilvl w:val="0"/>
          <w:numId w:val="1001"/>
        </w:numPr>
        <w:pStyle w:val="Compact"/>
      </w:pPr>
      <w:r>
        <w:rPr>
          <w:bCs/>
          <w:b/>
        </w:rPr>
        <w:t xml:space="preserve">Urban Pet Population Growth:</w:t>
      </w:r>
      <w:r>
        <w:t xml:space="preserve"> </w:t>
      </w:r>
      <w:r>
        <w:t xml:space="preserve">Auckland's population growth (+3.1% annually) directly correlates with a 9% increase in pet visits at AAC, particularly among younger demographics seeking premium veterinary services near their homes.</w:t>
      </w:r>
    </w:p>
    <w:p>
      <w:pPr>
        <w:numPr>
          <w:ilvl w:val="0"/>
          <w:numId w:val="1001"/>
        </w:numPr>
        <w:pStyle w:val="Compact"/>
      </w:pPr>
      <w:r>
        <w:rPr>
          <w:bCs/>
          <w:b/>
        </w:rPr>
        <w:t xml:space="preserve">Specialized Service Expansion:</w:t>
      </w:r>
      <w:r>
        <w:t xml:space="preserve"> </w:t>
      </w:r>
      <w:r>
        <w:t xml:space="preserve">The launch of our certified feline-only clinic and advanced dental care program has captured 28% of new clients from competing practices in Auckland suburbs like Newmarket and Henderson.</w:t>
      </w:r>
    </w:p>
    <w:bookmarkEnd w:id="22"/>
    <w:bookmarkStart w:id="23" w:name="detailed-revenue-breakdown-by-service"/>
    <w:p>
      <w:pPr>
        <w:pStyle w:val="Heading2"/>
      </w:pPr>
      <w:r>
        <w:t xml:space="preserve">Detailed Revenue Breakdown by Service</w:t>
      </w:r>
    </w:p>
    <w:p>
      <w:pPr>
        <w:pStyle w:val="FirstParagraph"/>
      </w:pPr>
      <w:r>
        <w:rPr>
          <w:bCs/>
          <w:b/>
        </w:rPr>
        <w:t xml:space="preserve">Veterinary Consultations &amp; Examinations:</w:t>
      </w:r>
      <w:r>
        <w:t xml:space="preserve"> </w:t>
      </w:r>
      <w:r>
        <w:t xml:space="preserve">The cornerstone of our practice, these services grew due to strategic partnerships with local Auckland dog parks (e.g., Western Springs) and schools. Our team of registered New Zealand</w:t>
      </w:r>
      <w:r>
        <w:t xml:space="preserve"> </w:t>
      </w:r>
      <w:r>
        <w:rPr>
          <w:bCs/>
          <w:b/>
        </w:rPr>
        <w:t xml:space="preserve">Veterinarian</w:t>
      </w:r>
      <w:r>
        <w:t xml:space="preserve">s achieved a 92% client retention rate through personalized care, directly contributing to the 12.3% revenue increase.</w:t>
      </w:r>
    </w:p>
    <w:p>
      <w:pPr>
        <w:pStyle w:val="BodyText"/>
      </w:pPr>
      <w:r>
        <w:rPr>
          <w:bCs/>
          <w:b/>
        </w:rPr>
        <w:t xml:space="preserve">Surgical Procedures:</w:t>
      </w:r>
      <w:r>
        <w:t xml:space="preserve"> </w:t>
      </w:r>
      <w:r>
        <w:t xml:space="preserve">This segment saw the strongest growth (19.1%), driven by two factors: first, our in-house dental unit (a rare offering in Auckland) reduced costs by 30% versus referral centers; second, a successful "Spay &amp; Neuter Month" campaign targeting high-impact suburbs like Manukau. The $98,750 revenue represents 42% of all surgical work done across Auckland's independent clinics.</w:t>
      </w:r>
    </w:p>
    <w:p>
      <w:pPr>
        <w:pStyle w:val="BodyText"/>
      </w:pPr>
      <w:r>
        <w:rPr>
          <w:bCs/>
          <w:b/>
        </w:rPr>
        <w:t xml:space="preserve">Retail Product Sales:</w:t>
      </w:r>
      <w:r>
        <w:t xml:space="preserve"> </w:t>
      </w:r>
      <w:r>
        <w:t xml:space="preserve">Our premium pet nutrition line (featuring New Zealand-sourced ingredients) and prescription medications drove the highest growth rate (22.4%). This success stems from our</w:t>
      </w:r>
      <w:r>
        <w:t xml:space="preserve"> </w:t>
      </w:r>
      <w:r>
        <w:rPr>
          <w:bCs/>
          <w:b/>
        </w:rPr>
        <w:t xml:space="preserve">Veterinarian</w:t>
      </w:r>
      <w:r>
        <w:t xml:space="preserve">-led product recommendations – 67% of retail customers actively choose products based on clinic advice, a trend unique to Auckland's informed pet owner community.</w:t>
      </w:r>
    </w:p>
    <w:bookmarkEnd w:id="23"/>
    <w:bookmarkStart w:id="24" w:name="Xe7d18cd1d3938b3ed0889f4cc99f208c31c79af"/>
    <w:p>
      <w:pPr>
        <w:pStyle w:val="Heading2"/>
      </w:pPr>
      <w:r>
        <w:t xml:space="preserve">Challenges &amp; Opportunities in New Zealand Veterinary Market</w:t>
      </w:r>
    </w:p>
    <w:p>
      <w:pPr>
        <w:pStyle w:val="FirstParagraph"/>
      </w:pPr>
      <w:r>
        <w:rPr>
          <w:iCs/>
          <w:i/>
        </w:rPr>
        <w:t xml:space="preserve">Challenges:</w:t>
      </w:r>
    </w:p>
    <w:p>
      <w:pPr>
        <w:numPr>
          <w:ilvl w:val="0"/>
          <w:numId w:val="1002"/>
        </w:numPr>
        <w:pStyle w:val="Compact"/>
      </w:pPr>
      <w:r>
        <w:rPr>
          <w:bCs/>
          <w:b/>
        </w:rPr>
        <w:t xml:space="preserve">Supply Chain Pressures:</w:t>
      </w:r>
      <w:r>
        <w:t xml:space="preserve"> </w:t>
      </w:r>
      <w:r>
        <w:t xml:space="preserve">Import delays for specialized medications (notably from the UK) impacted retail margins by 8% during Q3. This affects all New Zealand veterinary practices, particularly those relying on imported products.</w:t>
      </w:r>
    </w:p>
    <w:p>
      <w:pPr>
        <w:numPr>
          <w:ilvl w:val="0"/>
          <w:numId w:val="1002"/>
        </w:numPr>
        <w:pStyle w:val="Compact"/>
      </w:pPr>
      <w:r>
        <w:rPr>
          <w:bCs/>
          <w:b/>
        </w:rPr>
        <w:t xml:space="preserve">Rising Operational Costs:</w:t>
      </w:r>
      <w:r>
        <w:t xml:space="preserve"> </w:t>
      </w:r>
      <w:r>
        <w:t xml:space="preserve">Auckland's cost of living surge increased clinic operating expenses by 14% year-over-year, pressuring profit margins despite higher revenue.</w:t>
      </w:r>
    </w:p>
    <w:p>
      <w:pPr>
        <w:pStyle w:val="FirstParagraph"/>
      </w:pPr>
      <w:r>
        <w:rPr>
          <w:iCs/>
          <w:i/>
        </w:rPr>
        <w:t xml:space="preserve">Opportunities:</w:t>
      </w:r>
    </w:p>
    <w:p>
      <w:pPr>
        <w:numPr>
          <w:ilvl w:val="0"/>
          <w:numId w:val="1003"/>
        </w:numPr>
        <w:pStyle w:val="Compact"/>
      </w:pPr>
      <w:r>
        <w:rPr>
          <w:bCs/>
          <w:b/>
        </w:rPr>
        <w:t xml:space="preserve">Telehealth Expansion:</w:t>
      </w:r>
      <w:r>
        <w:t xml:space="preserve"> </w:t>
      </w:r>
      <w:r>
        <w:t xml:space="preserve">New Zealand's new telehealth regulations (effective July 2023) present a $150k+ revenue opportunity. We're piloting virtual follow-ups for post-surgical care, targeting Auckland clients in remote areas like Waiheke Island.</w:t>
      </w:r>
    </w:p>
    <w:p>
      <w:pPr>
        <w:numPr>
          <w:ilvl w:val="0"/>
          <w:numId w:val="1003"/>
        </w:numPr>
        <w:pStyle w:val="Compact"/>
      </w:pPr>
      <w:r>
        <w:rPr>
          <w:bCs/>
          <w:b/>
        </w:rPr>
        <w:t xml:space="preserve">Companion Animal Wellness Partnerships:</w:t>
      </w:r>
      <w:r>
        <w:t xml:space="preserve"> </w:t>
      </w:r>
      <w:r>
        <w:t xml:space="preserve">Collaborating with Auckland-based pet cafes (e.g., The Dog House in Freemans Bay) has generated 32 new client leads monthly through referral programs.</w:t>
      </w:r>
    </w:p>
    <w:p>
      <w:pPr>
        <w:numPr>
          <w:ilvl w:val="0"/>
          <w:numId w:val="1003"/>
        </w:numPr>
        <w:pStyle w:val="Compact"/>
      </w:pPr>
      <w:r>
        <w:rPr>
          <w:bCs/>
          <w:b/>
        </w:rPr>
        <w:t xml:space="preserve">NZ-Specific Product Development:</w:t>
      </w:r>
      <w:r>
        <w:t xml:space="preserve"> </w:t>
      </w:r>
      <w:r>
        <w:t xml:space="preserve">Partnering with local suppliers to create region-specific nutrition plans for New Zealand pets – addressing unique dietary needs like high-fish consumption in coastal communities.</w:t>
      </w:r>
    </w:p>
    <w:bookmarkEnd w:id="24"/>
    <w:bookmarkStart w:id="25" w:name="X949c64bee703551ef68112e93e02a2158997370"/>
    <w:p>
      <w:pPr>
        <w:pStyle w:val="Heading2"/>
      </w:pPr>
      <w:r>
        <w:t xml:space="preserve">Strategic Recommendations for Auckland Veterinary Growth</w:t>
      </w:r>
    </w:p>
    <w:p>
      <w:pPr>
        <w:pStyle w:val="FirstParagraph"/>
      </w:pPr>
      <w:r>
        <w:t xml:space="preserve">To sustain momentum in New Zealand's competitive veterinary market, we recommend:</w:t>
      </w:r>
    </w:p>
    <w:p>
      <w:pPr>
        <w:numPr>
          <w:ilvl w:val="0"/>
          <w:numId w:val="1004"/>
        </w:numPr>
        <w:pStyle w:val="Compact"/>
      </w:pPr>
      <w:r>
        <w:rPr>
          <w:bCs/>
          <w:b/>
        </w:rPr>
        <w:t xml:space="preserve">Expand Mobile Veterinary Services:</w:t>
      </w:r>
      <w:r>
        <w:t xml:space="preserve"> </w:t>
      </w:r>
      <w:r>
        <w:t xml:space="preserve">Launching a mobile clinic serving Western Auckland suburbs (e.g., Henderson, Albany) where 65% of new pet owners lack nearby specialist access. This directly addresses a critical gap in New Zealand's veterinary infrastructure.</w:t>
      </w:r>
    </w:p>
    <w:p>
      <w:pPr>
        <w:numPr>
          <w:ilvl w:val="0"/>
          <w:numId w:val="1004"/>
        </w:numPr>
        <w:pStyle w:val="Compact"/>
      </w:pPr>
      <w:r>
        <w:rPr>
          <w:bCs/>
          <w:b/>
        </w:rPr>
        <w:t xml:space="preserve">Develop NZ-Focused Education Programs:</w:t>
      </w:r>
      <w:r>
        <w:t xml:space="preserve"> </w:t>
      </w:r>
      <w:r>
        <w:t xml:space="preserve">Partner with Auckland primary schools to implement "Pet Wellness" curricula – aligning with the Ministry of Agriculture's animal welfare goals and building long-term client relationships.</w:t>
      </w:r>
    </w:p>
    <w:p>
      <w:pPr>
        <w:numPr>
          <w:ilvl w:val="0"/>
          <w:numId w:val="1004"/>
        </w:numPr>
        <w:pStyle w:val="Compact"/>
      </w:pPr>
      <w:r>
        <w:rPr>
          <w:bCs/>
          <w:b/>
        </w:rPr>
        <w:t xml:space="preserve">Negotiate Local Supply Partnerships:</w:t>
      </w:r>
      <w:r>
        <w:t xml:space="preserve"> </w:t>
      </w:r>
      <w:r>
        <w:t xml:space="preserve">Reduce import dependency by sourcing 40% of retail inventory from New Zealand-based veterinary suppliers, enhancing margins while supporting local businesses as per NZ Government sustainability initiatives.</w:t>
      </w:r>
    </w:p>
    <w:bookmarkEnd w:id="25"/>
    <w:bookmarkStart w:id="26" w:name="X9aec46a9c9cc094dcd6048d8350520051f9d4b9"/>
    <w:p>
      <w:pPr>
        <w:pStyle w:val="Heading2"/>
      </w:pPr>
      <w:r>
        <w:t xml:space="preserve">Conclusion: Leading Veterinary Excellence in Auckland</w:t>
      </w:r>
    </w:p>
    <w:p>
      <w:pPr>
        <w:pStyle w:val="FirstParagraph"/>
      </w:pPr>
      <w:r>
        <w:t xml:space="preserve">The Q3 2023 results affirm that our Auckland-based veterinary practice is not merely surviving but thriving within New Zealand's evolving pet care ecosystem. By embedding our services within the local community – understanding Auckland's specific needs while adhering to national veterinary standards – we've achieved a 15.7% revenue surge without compromising on the high-quality</w:t>
      </w:r>
      <w:r>
        <w:t xml:space="preserve"> </w:t>
      </w:r>
      <w:r>
        <w:rPr>
          <w:bCs/>
          <w:b/>
        </w:rPr>
        <w:t xml:space="preserve">Veterinarian</w:t>
      </w:r>
      <w:r>
        <w:t xml:space="preserve"> </w:t>
      </w:r>
      <w:r>
        <w:t xml:space="preserve">care that defines our practice.</w:t>
      </w:r>
    </w:p>
    <w:p>
      <w:pPr>
        <w:pStyle w:val="BodyText"/>
      </w:pPr>
      <w:r>
        <w:t xml:space="preserve">As New Zealand continues its journey toward world-class animal welfare (aligned with the 2023 Animal Welfare Act amendments), AAC's focus on preventative medicine, community partnerships, and NZ-specific service innovation positions us as a benchmark for veterinary excellence. We project Q4 revenue to reach $515,000 (+16% YoY) through our targeted mobile clinic launch and telehealth integration. This growth trajectory demonstrates that strategic adaptation to Auckland's market dynamics – combined with unwavering commitment to</w:t>
      </w:r>
      <w:r>
        <w:t xml:space="preserve"> </w:t>
      </w:r>
      <w:r>
        <w:rPr>
          <w:bCs/>
          <w:b/>
        </w:rPr>
        <w:t xml:space="preserve">Veterinarian</w:t>
      </w:r>
      <w:r>
        <w:t xml:space="preserve"> </w:t>
      </w:r>
      <w:r>
        <w:t xml:space="preserve">professionalism – is the cornerstone of sustainable success in New Zealand's veterinary sector.</w:t>
      </w:r>
    </w:p>
    <w:p>
      <w:pPr>
        <w:pStyle w:val="BodyText"/>
      </w:pPr>
      <w:r>
        <w:rPr>
          <w:iCs/>
          <w:i/>
        </w:rPr>
        <w:t xml:space="preserve">Prepared by: Auckland Animal Care Centre Executive Team | Licensed Veterinary Practice (NZAVS Registration #AC-2023-887)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Auckland New Zealand</dc:title>
  <dc:creator/>
  <dc:language>en</dc:language>
  <cp:keywords/>
  <dcterms:created xsi:type="dcterms:W3CDTF">2026-07-25T02:44:16Z</dcterms:created>
  <dcterms:modified xsi:type="dcterms:W3CDTF">2026-07-25T02:44:16Z</dcterms:modified>
</cp:coreProperties>
</file>

<file path=docProps/custom.xml><?xml version="1.0" encoding="utf-8"?>
<Properties xmlns="http://schemas.openxmlformats.org/officeDocument/2006/custom-properties" xmlns:vt="http://schemas.openxmlformats.org/officeDocument/2006/docPropsVTypes"/>
</file>