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Sales</w:t>
      </w:r>
      <w:r>
        <w:t xml:space="preserve"> </w:t>
      </w:r>
      <w:r>
        <w:t xml:space="preserve">Report</w:t>
      </w:r>
      <w:r>
        <w:t xml:space="preserve"> </w:t>
      </w:r>
      <w:r>
        <w:t xml:space="preserve">-</w:t>
      </w:r>
      <w:r>
        <w:t xml:space="preserve"> </w:t>
      </w:r>
      <w:r>
        <w:t xml:space="preserve">Islamabad,</w:t>
      </w:r>
      <w:r>
        <w:t xml:space="preserve"> </w:t>
      </w:r>
      <w:r>
        <w:t xml:space="preserve">Pakistan</w:t>
      </w:r>
    </w:p>
    <w:bookmarkStart w:id="30" w:name="veterinarian-sales-report"/>
    <w:p>
      <w:pPr>
        <w:pStyle w:val="Heading1"/>
      </w:pPr>
      <w:r>
        <w:t xml:space="preserve">VETERINARIAN SALES REPORT</w:t>
      </w:r>
    </w:p>
    <w:bookmarkStart w:id="29" w:name="X41c08be2c308fca59d7539bd15302d36ae25293"/>
    <w:p>
      <w:pPr>
        <w:pStyle w:val="Heading2"/>
      </w:pPr>
      <w:r>
        <w:t xml:space="preserve">For Islamabad, Pakistan | Q3 2023 (July-September)</w:t>
      </w:r>
    </w:p>
    <w:p>
      <w:pPr>
        <w:pStyle w:val="FirstParagraph"/>
      </w:pPr>
      <w:r>
        <w:t xml:space="preserve">Prepared For: Islamabad Veterinary Care Network</w:t>
      </w:r>
    </w:p>
    <w:p>
      <w:r>
        <w:pict>
          <v:rect style="width:0;height:1.5pt" o:hralign="center" o:hrstd="t" o:hr="t"/>
        </w:pict>
      </w:r>
    </w:p>
    <w:bookmarkStart w:id="20" w:name="executive-summary"/>
    <w:p>
      <w:pPr>
        <w:pStyle w:val="Heading3"/>
      </w:pPr>
      <w:r>
        <w:t xml:space="preserve">Executive Summary</w:t>
      </w:r>
    </w:p>
    <w:p>
      <w:pPr>
        <w:pStyle w:val="FirstParagraph"/>
      </w:pPr>
      <w:r>
        <w:t xml:space="preserve">This comprehensive Sales Report details the performance of our veterinary services across Islamabad, Pakistan during Q3 2023. The report highlights significant growth in both clinical services and pet product sales, reflecting increasing pet ownership awareness among Islamabad residents. Total revenue reached PKR 18.75 million (up 24% YoY), with service-based income contributing 68% of total sales versus product sales at 32%. This growth positions our veterinary clinics as essential healthcare providers in Pakistan's capital city, meeting the rising demand for professional animal care amidst Islamabad's expanding urban population.</w:t>
      </w:r>
    </w:p>
    <w:bookmarkEnd w:id="20"/>
    <w:bookmarkStart w:id="23" w:name="sales-performance-breakdown"/>
    <w:p>
      <w:pPr>
        <w:pStyle w:val="Heading3"/>
      </w:pPr>
      <w:r>
        <w:t xml:space="preserve">Sales Performance Breakdown</w:t>
      </w:r>
    </w:p>
    <w:bookmarkStart w:id="21" w:name="service-revenue-analysis-pkr"/>
    <w:p>
      <w:pPr>
        <w:pStyle w:val="Heading4"/>
      </w:pPr>
      <w:r>
        <w:t xml:space="preserve">1. Service Revenue Analysis (PKR)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Q3 Revenue (PKR)</w:t>
            </w:r>
          </w:p>
        </w:tc>
        <w:tc>
          <w:tcPr/>
          <w:p>
            <w:pPr>
              <w:pStyle w:val="Compact"/>
              <w:jc w:val="left"/>
            </w:pPr>
            <w:r>
              <w:t xml:space="preserve">YoY Change</w:t>
            </w:r>
          </w:p>
        </w:tc>
        <w:tc>
          <w:tcPr/>
          <w:p>
            <w:pPr>
              <w:pStyle w:val="Compact"/>
              <w:jc w:val="left"/>
            </w:pPr>
            <w:r>
              <w:t xml:space="preserve">% of Total Service Sales</w:t>
            </w:r>
          </w:p>
        </w:tc>
      </w:tr>
      <w:tr>
        <w:tc>
          <w:tcPr/>
          <w:p>
            <w:pPr>
              <w:pStyle w:val="Compact"/>
              <w:jc w:val="left"/>
            </w:pPr>
            <w:r>
              <w:t xml:space="preserve">Preventive Care (Vaccinations, Check-ups)</w:t>
            </w:r>
          </w:p>
        </w:tc>
        <w:tc>
          <w:tcPr/>
          <w:p>
            <w:pPr>
              <w:pStyle w:val="Compact"/>
              <w:jc w:val="left"/>
            </w:pPr>
            <w:r>
              <w:t xml:space="preserve">7,250,000</w:t>
            </w:r>
          </w:p>
        </w:tc>
        <w:tc>
          <w:tcPr/>
          <w:p>
            <w:pPr>
              <w:pStyle w:val="Compact"/>
              <w:jc w:val="left"/>
            </w:pPr>
            <w:r>
              <w:t xml:space="preserve">+31%</w:t>
            </w:r>
          </w:p>
        </w:tc>
        <w:tc>
          <w:tcPr/>
          <w:p>
            <w:pPr>
              <w:pStyle w:val="Compact"/>
              <w:jc w:val="left"/>
            </w:pPr>
            <w:r>
              <w:t xml:space="preserve">42%</w:t>
            </w:r>
          </w:p>
        </w:tc>
      </w:tr>
      <w:tr>
        <w:tc>
          <w:tcPr/>
          <w:p>
            <w:pPr>
              <w:pStyle w:val="Compact"/>
              <w:jc w:val="left"/>
            </w:pPr>
            <w:r>
              <w:t xml:space="preserve">Surgical Procedures</w:t>
            </w:r>
          </w:p>
        </w:tc>
        <w:tc>
          <w:tcPr/>
          <w:p>
            <w:pPr>
              <w:pStyle w:val="Compact"/>
              <w:jc w:val="left"/>
            </w:pPr>
            <w:r>
              <w:t xml:space="preserve">4,850,000</w:t>
            </w:r>
          </w:p>
        </w:tc>
        <w:tc>
          <w:tcPr/>
          <w:p>
            <w:pPr>
              <w:pStyle w:val="Compact"/>
              <w:jc w:val="left"/>
            </w:pPr>
            <w:r>
              <w:t xml:space="preserve">+19%</w:t>
            </w:r>
          </w:p>
        </w:tc>
        <w:tc>
          <w:tcPr/>
          <w:p>
            <w:pPr>
              <w:pStyle w:val="Compact"/>
              <w:jc w:val="left"/>
            </w:pPr>
            <w:r>
              <w:t xml:space="preserve">28%</w:t>
            </w:r>
          </w:p>
        </w:tc>
      </w:tr>
      <w:tr>
        <w:tc>
          <w:tcPr/>
          <w:p>
            <w:pPr>
              <w:pStyle w:val="Compact"/>
              <w:jc w:val="left"/>
            </w:pPr>
            <w:r>
              <w:t xml:space="preserve">Dental Care</w:t>
            </w:r>
          </w:p>
        </w:tc>
        <w:tc>
          <w:tcPr/>
          <w:p>
            <w:pPr>
              <w:pStyle w:val="Compact"/>
              <w:jc w:val="left"/>
            </w:pPr>
            <w:r>
              <w:t xml:space="preserve">2,310,000</w:t>
            </w:r>
          </w:p>
        </w:tc>
        <w:tc>
          <w:tcPr/>
          <w:p>
            <w:pPr>
              <w:pStyle w:val="Compact"/>
              <w:jc w:val="left"/>
            </w:pPr>
            <w:r>
              <w:t xml:space="preserve">+47%</w:t>
            </w:r>
          </w:p>
        </w:tc>
        <w:tc>
          <w:tcPr/>
          <w:p>
            <w:pPr>
              <w:pStyle w:val="Compact"/>
              <w:jc w:val="left"/>
            </w:pPr>
            <w:r>
              <w:t xml:space="preserve">13.5%</w:t>
            </w:r>
          </w:p>
        </w:tc>
      </w:tr>
      <w:tr>
        <w:tc>
          <w:tcPr/>
          <w:p>
            <w:pPr>
              <w:pStyle w:val="Compact"/>
              <w:jc w:val="left"/>
            </w:pPr>
            <w:r>
              <w:t xml:space="preserve">Emergency Services</w:t>
            </w:r>
          </w:p>
        </w:tc>
        <w:tc>
          <w:tcPr/>
          <w:p>
            <w:pPr>
              <w:pStyle w:val="Compact"/>
              <w:jc w:val="left"/>
            </w:pPr>
            <w:r>
              <w:t xml:space="preserve">1,985,000</w:t>
            </w:r>
          </w:p>
        </w:tc>
        <w:tc>
          <w:tcPr/>
          <w:p>
            <w:pPr>
              <w:pStyle w:val="Compact"/>
              <w:jc w:val="left"/>
            </w:pPr>
            <w:r>
              <w:t xml:space="preserve">+28%</w:t>
            </w:r>
          </w:p>
        </w:tc>
        <w:tc>
          <w:tcPr/>
          <w:p>
            <w:pPr>
              <w:pStyle w:val="Compact"/>
              <w:jc w:val="left"/>
            </w:pPr>
            <w:r>
              <w:t xml:space="preserve">11.5%</w:t>
            </w:r>
          </w:p>
        </w:tc>
      </w:tr>
      <w:tr>
        <w:tc>
          <w:tcPr/>
          <w:p>
            <w:pPr>
              <w:pStyle w:val="Compact"/>
              <w:jc w:val="left"/>
            </w:pPr>
            <w:r>
              <w:rPr>
                <w:bCs/>
                <w:b/>
              </w:rPr>
              <w:t xml:space="preserve">Total Services</w:t>
            </w:r>
          </w:p>
        </w:tc>
        <w:tc>
          <w:tcPr/>
          <w:p>
            <w:pPr>
              <w:pStyle w:val="Compact"/>
              <w:jc w:val="left"/>
            </w:pPr>
            <w:r>
              <w:rPr>
                <w:bCs/>
                <w:b/>
              </w:rPr>
              <w:t xml:space="preserve">16,400,000</w:t>
            </w:r>
          </w:p>
        </w:tc>
        <w:tc>
          <w:tcPr/>
          <w:p>
            <w:pPr>
              <w:pStyle w:val="Compact"/>
              <w:jc w:val="left"/>
            </w:pPr>
            <w:r>
              <w:rPr>
                <w:bCs/>
                <w:b/>
              </w:rPr>
              <w:t xml:space="preserve">+26%</w:t>
            </w:r>
          </w:p>
        </w:tc>
        <w:tc>
          <w:tcPr/>
          <w:p>
            <w:pPr>
              <w:pStyle w:val="Compact"/>
              <w:jc w:val="left"/>
            </w:pPr>
            <w:r>
              <w:rPr>
                <w:bCs/>
                <w:b/>
              </w:rPr>
              <w:t xml:space="preserve">68%</w:t>
            </w:r>
          </w:p>
        </w:tc>
      </w:tr>
    </w:tbl>
    <w:bookmarkEnd w:id="21"/>
    <w:bookmarkStart w:id="22" w:name="product-sales-performance-pkr"/>
    <w:p>
      <w:pPr>
        <w:pStyle w:val="Heading4"/>
      </w:pPr>
      <w:r>
        <w:t xml:space="preserve">2. Product Sales Performance (PKR)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Revenue (PKR)</w:t>
            </w:r>
          </w:p>
        </w:tc>
        <w:tc>
          <w:tcPr/>
          <w:p>
            <w:pPr>
              <w:pStyle w:val="Compact"/>
              <w:jc w:val="left"/>
            </w:pPr>
            <w:r>
              <w:t xml:space="preserve">YoY Change</w:t>
            </w:r>
          </w:p>
        </w:tc>
        <w:tc>
          <w:tcPr/>
          <w:p>
            <w:pPr>
              <w:pStyle w:val="Compact"/>
              <w:jc w:val="left"/>
            </w:pPr>
            <w:r>
              <w:t xml:space="preserve">% of Product Sales</w:t>
            </w:r>
          </w:p>
        </w:tc>
      </w:tr>
      <w:tr>
        <w:tc>
          <w:tcPr/>
          <w:p>
            <w:pPr>
              <w:pStyle w:val="Compact"/>
              <w:jc w:val="left"/>
            </w:pPr>
            <w:r>
              <w:t xml:space="preserve">Pet Nutrition (Premium Food)</w:t>
            </w:r>
          </w:p>
        </w:tc>
        <w:tc>
          <w:tcPr/>
          <w:p>
            <w:pPr>
              <w:pStyle w:val="Compact"/>
              <w:jc w:val="left"/>
            </w:pPr>
            <w:r>
              <w:t xml:space="preserve">1,675,000</w:t>
            </w:r>
          </w:p>
        </w:tc>
        <w:tc>
          <w:tcPr/>
          <w:p>
            <w:pPr>
              <w:pStyle w:val="Compact"/>
              <w:jc w:val="left"/>
            </w:pPr>
            <w:r>
              <w:t xml:space="preserve">+38%</w:t>
            </w:r>
          </w:p>
        </w:tc>
        <w:tc>
          <w:tcPr/>
          <w:p>
            <w:pPr>
              <w:pStyle w:val="Compact"/>
              <w:jc w:val="left"/>
            </w:pPr>
            <w:r>
              <w:t xml:space="preserve">42.5%</w:t>
            </w:r>
          </w:p>
        </w:tc>
      </w:tr>
      <w:tr>
        <w:tc>
          <w:tcPr/>
          <w:p>
            <w:pPr>
              <w:pStyle w:val="Compact"/>
              <w:jc w:val="left"/>
            </w:pPr>
            <w:r>
              <w:t xml:space="preserve">Parasite Prevention (Fleas/Ticks)</w:t>
            </w:r>
          </w:p>
        </w:tc>
        <w:tc>
          <w:tcPr/>
          <w:p>
            <w:pPr>
              <w:pStyle w:val="Compact"/>
              <w:jc w:val="left"/>
            </w:pPr>
            <w:r>
              <w:t xml:space="preserve">1,020,000</w:t>
            </w:r>
          </w:p>
        </w:tc>
        <w:tc>
          <w:tcPr/>
          <w:p>
            <w:pPr>
              <w:pStyle w:val="Compact"/>
              <w:jc w:val="left"/>
            </w:pPr>
            <w:r>
              <w:t xml:space="preserve">+29%</w:t>
            </w:r>
          </w:p>
        </w:tc>
        <w:tc>
          <w:tcPr/>
          <w:p>
            <w:pPr>
              <w:pStyle w:val="Compact"/>
              <w:jc w:val="left"/>
            </w:pPr>
            <w:r>
              <w:t xml:space="preserve">25.8%</w:t>
            </w:r>
          </w:p>
        </w:tc>
      </w:tr>
      <w:tr>
        <w:tc>
          <w:tcPr/>
          <w:p>
            <w:pPr>
              <w:pStyle w:val="Compact"/>
              <w:jc w:val="left"/>
            </w:pPr>
            <w:r>
              <w:t xml:space="preserve">Miscellaneous (Supplements, Toys)</w:t>
            </w:r>
          </w:p>
        </w:tc>
        <w:tc>
          <w:tcPr/>
          <w:p>
            <w:pPr>
              <w:pStyle w:val="Compact"/>
              <w:jc w:val="left"/>
            </w:pPr>
            <w:r>
              <w:t xml:space="preserve">675,000</w:t>
            </w:r>
          </w:p>
        </w:tc>
        <w:tc>
          <w:tcPr/>
          <w:p>
            <w:pPr>
              <w:pStyle w:val="Compact"/>
              <w:jc w:val="left"/>
            </w:pPr>
            <w:r>
              <w:t xml:space="preserve">+18%</w:t>
            </w:r>
          </w:p>
        </w:tc>
        <w:tc>
          <w:tcPr/>
          <w:p>
            <w:pPr>
              <w:pStyle w:val="Compact"/>
              <w:jc w:val="left"/>
            </w:pPr>
            <w:r>
              <w:t xml:space="preserve">17.2%</w:t>
            </w:r>
          </w:p>
        </w:tc>
      </w:tr>
      <w:tr>
        <w:tc>
          <w:tcPr/>
          <w:p>
            <w:pPr>
              <w:pStyle w:val="Compact"/>
              <w:jc w:val="left"/>
            </w:pPr>
            <w:r>
              <w:t xml:space="preserve">Veterinary Medications</w:t>
            </w:r>
          </w:p>
        </w:tc>
        <w:tc>
          <w:tcPr/>
          <w:p>
            <w:pPr>
              <w:pStyle w:val="Compact"/>
              <w:jc w:val="left"/>
            </w:pPr>
            <w:r>
              <w:t xml:space="preserve">542,000</w:t>
            </w:r>
          </w:p>
        </w:tc>
        <w:tc>
          <w:tcPr/>
          <w:p>
            <w:pPr>
              <w:pStyle w:val="Compact"/>
              <w:jc w:val="left"/>
            </w:pPr>
            <w:r>
              <w:t xml:space="preserve">+33%</w:t>
            </w:r>
          </w:p>
        </w:tc>
        <w:tc>
          <w:tcPr/>
          <w:p>
            <w:pPr>
              <w:pStyle w:val="Compact"/>
              <w:jc w:val="left"/>
            </w:pPr>
            <w:r>
              <w:t xml:space="preserve">13.5%</w:t>
            </w:r>
          </w:p>
        </w:tc>
      </w:tr>
      <w:tr>
        <w:tc>
          <w:tcPr/>
          <w:p>
            <w:pPr>
              <w:pStyle w:val="Compact"/>
              <w:jc w:val="left"/>
            </w:pPr>
            <w:r>
              <w:rPr>
                <w:bCs/>
                <w:b/>
              </w:rPr>
              <w:t xml:space="preserve">Total Products</w:t>
            </w:r>
          </w:p>
        </w:tc>
        <w:tc>
          <w:tcPr/>
          <w:p>
            <w:pPr>
              <w:pStyle w:val="Compact"/>
              <w:jc w:val="left"/>
            </w:pPr>
            <w:r>
              <w:rPr>
                <w:bCs/>
                <w:b/>
              </w:rPr>
              <w:t xml:space="preserve">3,912,000</w:t>
            </w:r>
          </w:p>
        </w:tc>
        <w:tc>
          <w:tcPr/>
          <w:p>
            <w:pPr>
              <w:pStyle w:val="Compact"/>
              <w:jc w:val="left"/>
            </w:pPr>
            <w:r>
              <w:rPr>
                <w:bCs/>
                <w:b/>
              </w:rPr>
              <w:t xml:space="preserve">+31%</w:t>
            </w:r>
          </w:p>
        </w:tc>
        <w:tc>
          <w:tcPr/>
          <w:p>
            <w:pPr>
              <w:pStyle w:val="Compact"/>
              <w:jc w:val="left"/>
            </w:pPr>
            <w:r>
              <w:rPr>
                <w:bCs/>
                <w:b/>
              </w:rPr>
              <w:t xml:space="preserve">32%</w:t>
            </w:r>
          </w:p>
        </w:tc>
      </w:tr>
    </w:tbl>
    <w:bookmarkEnd w:id="22"/>
    <w:bookmarkEnd w:id="23"/>
    <w:bookmarkStart w:id="24" w:name="market-context-pakistan-islamabad"/>
    <w:p>
      <w:pPr>
        <w:pStyle w:val="Heading3"/>
      </w:pPr>
      <w:r>
        <w:t xml:space="preserve">Market Context: Pakistan Islamabad</w:t>
      </w:r>
    </w:p>
    <w:p>
      <w:pPr>
        <w:pStyle w:val="FirstParagraph"/>
      </w:pPr>
      <w:r>
        <w:t xml:space="preserve">Islamabad's pet care market has grown exponentially in the last 5 years, with pet ownership increasing by 19% annually in the capital region (Pakistan Bureau of Statistics, 2023). This trend is driven by rising disposable income among Islamabad's middle and upper-middle class families (particularly in sectors like Diplomatic Enclave, DHA, and Bahria Town), coupled with increased awareness about animal welfare. The government's recent Pet Health Guidelines for urban centers have further legitimized veterinary services as essential healthcare infrastructure across Pakistan.</w:t>
      </w:r>
    </w:p>
    <w:p>
      <w:pPr>
        <w:pStyle w:val="BodyText"/>
      </w:pPr>
      <w:r>
        <w:t xml:space="preserve">Notably, 67% of our new clients in Islamabad joined through social media referrals (Facebook and Instagram), reflecting the digital savviness of Islamabad's pet owners. This is a significant shift from traditional word-of-mouth channels, confirming that veterinary services in Pakistan are now integrated into modern urban lifestyles.</w:t>
      </w:r>
    </w:p>
    <w:bookmarkEnd w:id="24"/>
    <w:bookmarkStart w:id="25" w:name="key-growth-drivers"/>
    <w:p>
      <w:pPr>
        <w:pStyle w:val="Heading3"/>
      </w:pPr>
      <w:r>
        <w:t xml:space="preserve">Key Growth Drivers</w:t>
      </w:r>
    </w:p>
    <w:p>
      <w:pPr>
        <w:numPr>
          <w:ilvl w:val="0"/>
          <w:numId w:val="1001"/>
        </w:numPr>
        <w:pStyle w:val="Compact"/>
      </w:pPr>
      <w:r>
        <w:rPr>
          <w:bCs/>
          <w:b/>
        </w:rPr>
        <w:t xml:space="preserve">Urbanization &amp; Lifestyle Shifts:</w:t>
      </w:r>
      <w:r>
        <w:t xml:space="preserve"> </w:t>
      </w:r>
      <w:r>
        <w:t xml:space="preserve">Islamabad's expanding population (5.8M residents) has created a new demographic demanding professional veterinary care, moving beyond traditional pet ownership in rural Pakistan.</w:t>
      </w:r>
    </w:p>
    <w:p>
      <w:pPr>
        <w:numPr>
          <w:ilvl w:val="0"/>
          <w:numId w:val="1001"/>
        </w:numPr>
        <w:pStyle w:val="Compact"/>
      </w:pPr>
      <w:r>
        <w:rPr>
          <w:bCs/>
          <w:b/>
        </w:rPr>
        <w:t xml:space="preserve">Rising Pet Insurance Adoption:</w:t>
      </w:r>
      <w:r>
        <w:t xml:space="preserve"> </w:t>
      </w:r>
      <w:r>
        <w:t xml:space="preserve">12% of our clients now utilize pet insurance plans (up from 3% last year), directly boosting service sales volume as out-of-pocket expenses decrease.</w:t>
      </w:r>
    </w:p>
    <w:p>
      <w:pPr>
        <w:numPr>
          <w:ilvl w:val="0"/>
          <w:numId w:val="1001"/>
        </w:numPr>
        <w:pStyle w:val="Compact"/>
      </w:pPr>
      <w:r>
        <w:rPr>
          <w:bCs/>
          <w:b/>
        </w:rPr>
        <w:t xml:space="preserve">Government-Private Partnership:</w:t>
      </w:r>
      <w:r>
        <w:t xml:space="preserve"> </w:t>
      </w:r>
      <w:r>
        <w:t xml:space="preserve">Collaborations with Islamabad Metropolitan Corporation on stray animal control programs have generated consistent referral traffic to our clinics, especially in high-density areas like Blue Area and F-7.</w:t>
      </w:r>
    </w:p>
    <w:bookmarkEnd w:id="25"/>
    <w:bookmarkStart w:id="26" w:name="challenges-in-pakistan-islamabad"/>
    <w:p>
      <w:pPr>
        <w:pStyle w:val="Heading3"/>
      </w:pPr>
      <w:r>
        <w:t xml:space="preserve">Challenges in Pakistan Islamabad</w:t>
      </w:r>
    </w:p>
    <w:p>
      <w:pPr>
        <w:pStyle w:val="FirstParagraph"/>
      </w:pPr>
      <w:r>
        <w:t xml:space="preserve">Despite robust growth, several challenges persist for veterinary businesses operating in Islamabad:</w:t>
      </w:r>
    </w:p>
    <w:p>
      <w:pPr>
        <w:numPr>
          <w:ilvl w:val="0"/>
          <w:numId w:val="1002"/>
        </w:numPr>
        <w:pStyle w:val="Compact"/>
      </w:pPr>
      <w:r>
        <w:rPr>
          <w:bCs/>
          <w:b/>
        </w:rPr>
        <w:t xml:space="preserve">Supply Chain Constraints:</w:t>
      </w:r>
      <w:r>
        <w:t xml:space="preserve"> </w:t>
      </w:r>
      <w:r>
        <w:t xml:space="preserve">Import restrictions on premium pet food ingredients (from EU/US) have increased product costs by 18%, affecting our margin structure.</w:t>
      </w:r>
    </w:p>
    <w:p>
      <w:pPr>
        <w:numPr>
          <w:ilvl w:val="0"/>
          <w:numId w:val="1002"/>
        </w:numPr>
        <w:pStyle w:val="Compact"/>
      </w:pPr>
      <w:r>
        <w:rPr>
          <w:bCs/>
          <w:b/>
        </w:rPr>
        <w:t xml:space="preserve">Regulatory Compliance:</w:t>
      </w:r>
      <w:r>
        <w:t xml:space="preserve"> </w:t>
      </w:r>
      <w:r>
        <w:t xml:space="preserve">New Pakistan Veterinary Council guidelines require updated certification for all staff, increasing operational costs by PKR 520,000 quarterly.</w:t>
      </w:r>
    </w:p>
    <w:p>
      <w:pPr>
        <w:numPr>
          <w:ilvl w:val="0"/>
          <w:numId w:val="1002"/>
        </w:numPr>
        <w:pStyle w:val="Compact"/>
      </w:pPr>
      <w:r>
        <w:rPr>
          <w:bCs/>
          <w:b/>
        </w:rPr>
        <w:t xml:space="preserve">Seasonal Demand Spikes:</w:t>
      </w:r>
      <w:r>
        <w:t xml:space="preserve"> </w:t>
      </w:r>
      <w:r>
        <w:t xml:space="preserve">Summer heatwaves in Islamabad cause 35% increase in dehydration cases (July-August), straining clinic capacity during peak months.</w:t>
      </w:r>
    </w:p>
    <w:bookmarkEnd w:id="26"/>
    <w:bookmarkStart w:id="27" w:name="X444a35a33cc879b65e48532eee49399408bc183"/>
    <w:p>
      <w:pPr>
        <w:pStyle w:val="Heading3"/>
      </w:pPr>
      <w:r>
        <w:t xml:space="preserve">Strategic Recommendations for Islamabad Market</w:t>
      </w:r>
    </w:p>
    <w:p>
      <w:pPr>
        <w:pStyle w:val="FirstParagraph"/>
      </w:pPr>
      <w:r>
        <w:t xml:space="preserve">Based on this Sales Report, we recommend the following actions to sustain growth in Pakistan's capital:</w:t>
      </w:r>
    </w:p>
    <w:p>
      <w:pPr>
        <w:numPr>
          <w:ilvl w:val="0"/>
          <w:numId w:val="1003"/>
        </w:numPr>
        <w:pStyle w:val="Compact"/>
      </w:pPr>
      <w:r>
        <w:rPr>
          <w:bCs/>
          <w:b/>
        </w:rPr>
        <w:t xml:space="preserve">Expand Preventive Care Packages:</w:t>
      </w:r>
      <w:r>
        <w:t xml:space="preserve"> </w:t>
      </w:r>
      <w:r>
        <w:t xml:space="preserve">Develop bundled services (e.g., "Complete Health Package" for PKR 4,500) targeting Islamabad's young professionals. This has proven to increase client retention by 31% in pilot clinics.</w:t>
      </w:r>
    </w:p>
    <w:p>
      <w:pPr>
        <w:numPr>
          <w:ilvl w:val="0"/>
          <w:numId w:val="1003"/>
        </w:numPr>
        <w:pStyle w:val="Compact"/>
      </w:pPr>
      <w:r>
        <w:rPr>
          <w:bCs/>
          <w:b/>
        </w:rPr>
        <w:t xml:space="preserve">Leverage Digital Platforms:</w:t>
      </w:r>
      <w:r>
        <w:t xml:space="preserve"> </w:t>
      </w:r>
      <w:r>
        <w:t xml:space="preserve">Launch an AI-based appointment scheduling system integrated with Facebook/WhatsApp – expected to reduce no-show rates by 25% and capture more clients from Islamabad's digital-native population.</w:t>
      </w:r>
    </w:p>
    <w:p>
      <w:pPr>
        <w:numPr>
          <w:ilvl w:val="0"/>
          <w:numId w:val="1003"/>
        </w:numPr>
        <w:pStyle w:val="Compact"/>
      </w:pPr>
      <w:r>
        <w:rPr>
          <w:bCs/>
          <w:b/>
        </w:rPr>
        <w:t xml:space="preserve">Localize Product Sourcing:</w:t>
      </w:r>
      <w:r>
        <w:t xml:space="preserve"> </w:t>
      </w:r>
      <w:r>
        <w:t xml:space="preserve">Partner with Lahore-based pet food manufacturers to reduce import dependency, potentially lowering costs by 12-15% for premium product lines.</w:t>
      </w:r>
    </w:p>
    <w:p>
      <w:pPr>
        <w:numPr>
          <w:ilvl w:val="0"/>
          <w:numId w:val="1003"/>
        </w:numPr>
        <w:pStyle w:val="Compact"/>
      </w:pPr>
      <w:r>
        <w:rPr>
          <w:bCs/>
          <w:b/>
        </w:rPr>
        <w:t xml:space="preserve">Community Health Initiatives:</w:t>
      </w:r>
      <w:r>
        <w:t xml:space="preserve"> </w:t>
      </w:r>
      <w:r>
        <w:t xml:space="preserve">Partner with Islamabad schools for "Pet Care Education Programs" to build brand loyalty and attract new clients from the next generation of pet owners.</w:t>
      </w:r>
    </w:p>
    <w:bookmarkEnd w:id="27"/>
    <w:bookmarkStart w:id="28" w:name="conclusion"/>
    <w:p>
      <w:pPr>
        <w:pStyle w:val="Heading3"/>
      </w:pPr>
      <w:r>
        <w:t xml:space="preserve">Conclusion</w:t>
      </w:r>
    </w:p>
    <w:p>
      <w:pPr>
        <w:pStyle w:val="FirstParagraph"/>
      </w:pPr>
      <w:r>
        <w:t xml:space="preserve">The Q3 2023 Sales Report confirms that veterinary services in Islamabad, Pakistan are transitioning from a niche market to an essential urban healthcare sector. With the capital city's pet population growing at 18% annually, our clinics have become critical community health hubs. The 24% YoY revenue growth demonstrates strong market validation for professional veterinary care in Pakistan's premier city.</w:t>
      </w:r>
    </w:p>
    <w:p>
      <w:pPr>
        <w:pStyle w:val="BodyText"/>
      </w:pPr>
      <w:r>
        <w:t xml:space="preserve">As we move into Q4, the focus will shift toward operational scalability to handle increasing demand while maintaining Islamabad's high service standards. Our strategic investments in digital transformation and localized product solutions position us to capture 35% of Islamabad's veterinary market by 2025 – making this not just a business success story, but a contribution to Pakistan's evolving animal welfare landscape.</w:t>
      </w:r>
    </w:p>
    <w:p>
      <w:pPr>
        <w:pStyle w:val="BodyText"/>
      </w:pPr>
      <w:r>
        <w:t xml:space="preserve">Prepared by Islamabad Veterinary Analytics Team | October 15,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Sales Report - Islamabad, Pakistan</dc:title>
  <dc:creator/>
  <dc:language>en</dc:language>
  <cp:keywords/>
  <dcterms:created xsi:type="dcterms:W3CDTF">2026-07-24T06:40:43Z</dcterms:created>
  <dcterms:modified xsi:type="dcterms:W3CDTF">2026-07-24T06:40:43Z</dcterms:modified>
</cp:coreProperties>
</file>

<file path=docProps/custom.xml><?xml version="1.0" encoding="utf-8"?>
<Properties xmlns="http://schemas.openxmlformats.org/officeDocument/2006/custom-properties" xmlns:vt="http://schemas.openxmlformats.org/officeDocument/2006/docPropsVTypes"/>
</file>