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Madrid</w:t>
      </w:r>
      <w:r>
        <w:t xml:space="preserve"> </w:t>
      </w:r>
      <w:r>
        <w:t xml:space="preserve">Spain</w:t>
      </w:r>
      <w:r>
        <w:t xml:space="preserve"> </w:t>
      </w:r>
      <w:r>
        <w:t xml:space="preserve">Market</w:t>
      </w:r>
      <w:r>
        <w:t xml:space="preserve"> </w:t>
      </w:r>
      <w:r>
        <w:t xml:space="preserve">Analysis</w:t>
      </w:r>
    </w:p>
    <w:bookmarkStart w:id="28" w:name="X91f58b0a67692c695fe4329827f02ea69a17936"/>
    <w:p>
      <w:pPr>
        <w:pStyle w:val="Heading1"/>
      </w:pPr>
      <w:r>
        <w:t xml:space="preserve">Comprehensive Sales Report: Veterinary Clinic Performance Analysis in Madrid, Spain</w:t>
      </w:r>
    </w:p>
    <w:bookmarkStart w:id="20" w:name="executive-summary"/>
    <w:p>
      <w:pPr>
        <w:pStyle w:val="Heading2"/>
      </w:pPr>
      <w:r>
        <w:t xml:space="preserve">Executive Summary</w:t>
      </w:r>
    </w:p>
    <w:p>
      <w:pPr>
        <w:pStyle w:val="FirstParagraph"/>
      </w:pPr>
      <w:r>
        <w:t xml:space="preserve">This report presents a detailed analysis of sales performance across our veterinary clinics operating in Madrid, Spain during the first half of 2023. Our data confirms robust growth trajectory within the Spanish veterinary market, with a 18.7% year-over-year increase in revenue attributed to strategic service diversification and heightened pet ownership trends in Madrid's urban landscape. The report underscores how our clinic network has capitalized on Madrid-specific market dynamics while maintaining exceptional client retention rates (89%) that exceed national averages by 15 percentage points.</w:t>
      </w:r>
    </w:p>
    <w:bookmarkEnd w:id="20"/>
    <w:bookmarkStart w:id="21" w:name="X154b167d9db7d759dda3bd80d09c377f390cbaa"/>
    <w:p>
      <w:pPr>
        <w:pStyle w:val="Heading2"/>
      </w:pPr>
      <w:r>
        <w:t xml:space="preserve">Market Context: Spain Madrid Veterinary Landscape</w:t>
      </w:r>
    </w:p>
    <w:p>
      <w:pPr>
        <w:pStyle w:val="FirstParagraph"/>
      </w:pPr>
      <w:r>
        <w:t xml:space="preserve">Madrid represents the epicenter of Spain's veterinary industry, housing 37% of the country's licensed veterinarians and serving a pet-owning population exceeding 1.8 million residents. The Spanish Ministry of Agriculture reports a 24% surge in companion animal consultations since 2020, directly influencing our Madrid operations. Key differentiators in this market include: stringent EU veterinary regulations (implemented under Royal Decree 937/1985), rising demand for specialized services (particularly orthopedic and dermatological care), and cultural shifts toward premium pet wellness products. Our Madrid clinics have strategically positioned themselves as leaders in evidence-based, client-centric care within this evolving ecosystem.</w:t>
      </w:r>
    </w:p>
    <w:bookmarkEnd w:id="21"/>
    <w:bookmarkStart w:id="24" w:name="sales-performance-breakdown-q1-q2-2023"/>
    <w:p>
      <w:pPr>
        <w:pStyle w:val="Heading2"/>
      </w:pPr>
      <w:r>
        <w:t xml:space="preserve">Sales Performance Breakdown: Q1-Q2 2023</w:t>
      </w:r>
    </w:p>
    <w:bookmarkStart w:id="22" w:name="service-revenue-analysis"/>
    <w:p>
      <w:pPr>
        <w:pStyle w:val="Heading3"/>
      </w:pPr>
      <w:r>
        <w:t xml:space="preserve">Service Revenue Analysis</w:t>
      </w:r>
    </w:p>
    <w:p>
      <w:pPr>
        <w:pStyle w:val="FirstParagraph"/>
      </w:pPr>
      <w:r>
        <w:t xml:space="preserve">Service Category</w:t>
      </w:r>
    </w:p>
    <w:p>
      <w:pPr>
        <w:pStyle w:val="BodyText"/>
      </w:pPr>
      <w:r>
        <w:t xml:space="preserve">Q1 Revenue (€)</w:t>
      </w:r>
    </w:p>
    <w:p>
      <w:pPr>
        <w:pStyle w:val="BodyText"/>
      </w:pPr>
      <w:r>
        <w:t xml:space="preserve">Q2 Revenue (€)</w:t>
      </w:r>
    </w:p>
    <w:p>
      <w:pPr>
        <w:pStyle w:val="BodyText"/>
      </w:pPr>
      <w:r>
        <w:t xml:space="preserve">% Growth (YoY)</w:t>
      </w:r>
    </w:p>
    <w:p>
      <w:pPr>
        <w:pStyle w:val="BodyText"/>
      </w:pPr>
      <w:r>
        <w:t xml:space="preserve">Preventive Care (Vaccinations, Check-ups)</w:t>
      </w:r>
    </w:p>
    <w:p>
      <w:pPr>
        <w:pStyle w:val="BodyText"/>
      </w:pPr>
      <w:r>
        <w:t xml:space="preserve">185,400</w:t>
      </w:r>
    </w:p>
    <w:p>
      <w:pPr>
        <w:pStyle w:val="BodyText"/>
      </w:pPr>
      <w:r>
        <w:t xml:space="preserve">212,600</w:t>
      </w:r>
    </w:p>
    <w:p>
      <w:pPr>
        <w:pStyle w:val="BodyText"/>
      </w:pPr>
      <w:r>
        <w:t xml:space="preserve">23.1%</w:t>
      </w:r>
    </w:p>
    <w:p>
      <w:pPr>
        <w:pStyle w:val="BodyText"/>
      </w:pPr>
      <w:r>
        <w:t xml:space="preserve">Surgical Procedures (Spaying/Neutering)</w:t>
      </w:r>
    </w:p>
    <w:p>
      <w:pPr>
        <w:pStyle w:val="BodyText"/>
      </w:pPr>
      <w:r>
        <w:t xml:space="preserve">98,750</w:t>
      </w:r>
    </w:p>
    <w:p>
      <w:pPr>
        <w:pStyle w:val="BodyText"/>
      </w:pPr>
      <w:r>
        <w:t xml:space="preserve">114,300</w:t>
      </w:r>
      <w:r>
        <w:br/>
      </w:r>
      <w:r>
        <w:t xml:space="preserve">4.2%</w:t>
      </w:r>
    </w:p>
    <w:p>
      <w:pPr>
        <w:pStyle w:val="BodyText"/>
      </w:pPr>
      <w:r>
        <w:t xml:space="preserve">Dermatology &amp; Allergy Treatment</w:t>
      </w:r>
    </w:p>
    <w:p>
      <w:pPr>
        <w:pStyle w:val="BodyText"/>
      </w:pPr>
      <w:r>
        <w:t xml:space="preserve">67,200</w:t>
      </w:r>
    </w:p>
    <w:p>
      <w:pPr>
        <w:pStyle w:val="BodyText"/>
      </w:pPr>
      <w:r>
        <w:t xml:space="preserve">83,550</w:t>
      </w:r>
    </w:p>
    <w:p>
      <w:pPr>
        <w:pStyle w:val="BodyText"/>
      </w:pPr>
      <w:r>
        <w:t xml:space="preserve">31.8%</w:t>
      </w:r>
    </w:p>
    <w:p>
      <w:pPr>
        <w:pStyle w:val="BodyText"/>
      </w:pPr>
      <w:r>
        <w:t xml:space="preserve">Total Services Revenue</w:t>
      </w:r>
    </w:p>
    <w:p>
      <w:pPr>
        <w:pStyle w:val="BodyText"/>
      </w:pPr>
      <w:r>
        <w:br/>
      </w:r>
    </w:p>
    <w:p>
      <w:pPr>
        <w:pStyle w:val="BodyText"/>
      </w:pPr>
      <w:r>
        <w:t xml:space="preserve">497,500 (Q1-Q2)</w:t>
      </w:r>
    </w:p>
    <w:p>
      <w:pPr>
        <w:pStyle w:val="BodyText"/>
      </w:pPr>
      <w:r>
        <w:br/>
      </w:r>
    </w:p>
    <w:p>
      <w:pPr>
        <w:pStyle w:val="BodyText"/>
      </w:pPr>
      <w:r>
        <w:t xml:space="preserve">25.3% YoY</w:t>
      </w:r>
    </w:p>
    <w:p>
      <w:pPr>
        <w:pStyle w:val="BodyText"/>
      </w:pPr>
      <w:r>
        <w:t xml:space="preserve">The 31.8% growth in dermatology services directly responds to Madrid's high pollution index (average PM2.5: 46 μg/m³) and seasonal pollen spikes, which significantly impact urban pets' skin health. Our specialized clinic at Paseo de la Castellana has seen a 40% increase in allergy consultations since implementing advanced skin cytology protocols approved by the Spanish Veterinary Council (COV).</w:t>
      </w:r>
    </w:p>
    <w:bookmarkEnd w:id="22"/>
    <w:bookmarkStart w:id="23" w:name="product-sales-performance"/>
    <w:p>
      <w:pPr>
        <w:pStyle w:val="Heading3"/>
      </w:pPr>
      <w:r>
        <w:t xml:space="preserve">Product Sales Performance</w:t>
      </w:r>
    </w:p>
    <w:p>
      <w:pPr>
        <w:pStyle w:val="FirstParagraph"/>
      </w:pPr>
      <w:r>
        <w:t xml:space="preserve">Pharmacy revenue surged to €215,800 during H1 2023, driven by three strategic initiatives:</w:t>
      </w:r>
    </w:p>
    <w:p>
      <w:pPr>
        <w:numPr>
          <w:ilvl w:val="0"/>
          <w:numId w:val="1001"/>
        </w:numPr>
        <w:pStyle w:val="Compact"/>
      </w:pPr>
      <w:r>
        <w:rPr>
          <w:bCs/>
          <w:b/>
        </w:rPr>
        <w:t xml:space="preserve">Premium Prescription Diets:</w:t>
      </w:r>
      <w:r>
        <w:t xml:space="preserve"> </w:t>
      </w:r>
      <w:r>
        <w:t xml:space="preserve">65% growth through partnerships with Spanish pet nutrition leaders (e.g., Royal Canin Spain), particularly for chronic conditions like renal disease prevalent in Madrid's older pet population.</w:t>
      </w:r>
    </w:p>
    <w:p>
      <w:pPr>
        <w:numPr>
          <w:ilvl w:val="0"/>
          <w:numId w:val="1001"/>
        </w:numPr>
        <w:pStyle w:val="Compact"/>
      </w:pPr>
      <w:r>
        <w:rPr>
          <w:bCs/>
          <w:b/>
        </w:rPr>
        <w:t xml:space="preserve">Preventive Care Kits:</w:t>
      </w:r>
      <w:r>
        <w:t xml:space="preserve"> </w:t>
      </w:r>
      <w:r>
        <w:t xml:space="preserve">"Madrid Pet Wellness Packs" (vaccination + parasite control) generated 37% of all product sales, leveraging city-wide seasonal campaigns during spring and autumn.</w:t>
      </w:r>
    </w:p>
    <w:p>
      <w:pPr>
        <w:numPr>
          <w:ilvl w:val="0"/>
          <w:numId w:val="1001"/>
        </w:numPr>
        <w:pStyle w:val="Compact"/>
      </w:pPr>
      <w:r>
        <w:rPr>
          <w:bCs/>
          <w:b/>
        </w:rPr>
        <w:t xml:space="preserve">Sustainable Products:</w:t>
      </w:r>
      <w:r>
        <w:t xml:space="preserve"> </w:t>
      </w:r>
      <w:r>
        <w:t xml:space="preserve">Eco-friendly litter (58% market growth in Spain) now accounts for 28% of our pharmacy revenue, aligning with Madrid's Zero Waste City initiative (MADRID+).</w:t>
      </w:r>
    </w:p>
    <w:bookmarkEnd w:id="23"/>
    <w:bookmarkEnd w:id="24"/>
    <w:bookmarkStart w:id="25" w:name="madrid-specific-market-drivers"/>
    <w:p>
      <w:pPr>
        <w:pStyle w:val="Heading2"/>
      </w:pPr>
      <w:r>
        <w:t xml:space="preserve">Madrid-Specific Market Drivers</w:t>
      </w:r>
    </w:p>
    <w:p>
      <w:pPr>
        <w:pStyle w:val="FirstParagraph"/>
      </w:pPr>
      <w:r>
        <w:t xml:space="preserve">Our sales strategy has successfully harnessed unique Madrid factors:</w:t>
      </w:r>
    </w:p>
    <w:p>
      <w:pPr>
        <w:numPr>
          <w:ilvl w:val="0"/>
          <w:numId w:val="1002"/>
        </w:numPr>
        <w:pStyle w:val="Compact"/>
      </w:pPr>
      <w:r>
        <w:rPr>
          <w:bCs/>
          <w:b/>
        </w:rPr>
        <w:t xml:space="preserve">Urbanization Effects:</w:t>
      </w:r>
      <w:r>
        <w:t xml:space="preserve"> </w:t>
      </w:r>
      <w:r>
        <w:t xml:space="preserve">83% of our clients reside in Madrid's central districts (Chamartín, Salamanca), where veterinary services are increasingly considered essential urban amenities. This prompted our expansion into mobile veterinary units serving high-density neighborhoods like Retiro and Barajas.</w:t>
      </w:r>
    </w:p>
    <w:p>
      <w:pPr>
        <w:numPr>
          <w:ilvl w:val="0"/>
          <w:numId w:val="1002"/>
        </w:numPr>
        <w:pStyle w:val="Compact"/>
      </w:pPr>
      <w:r>
        <w:rPr>
          <w:bCs/>
          <w:b/>
        </w:rPr>
        <w:t xml:space="preserve">Legislative Compliance:</w:t>
      </w:r>
      <w:r>
        <w:t xml:space="preserve"> </w:t>
      </w:r>
      <w:r>
        <w:t xml:space="preserve">Full adherence to Spain's 2021 Veterinary Practice Act (Law 9/2014) has strengthened client trust, with 76% of new customers citing regulatory compliance as a key decision factor in Madrid.</w:t>
      </w:r>
    </w:p>
    <w:p>
      <w:pPr>
        <w:numPr>
          <w:ilvl w:val="0"/>
          <w:numId w:val="1002"/>
        </w:numPr>
        <w:pStyle w:val="Compact"/>
      </w:pPr>
      <w:r>
        <w:rPr>
          <w:bCs/>
          <w:b/>
        </w:rPr>
        <w:t xml:space="preserve">Cultural Trends:</w:t>
      </w:r>
      <w:r>
        <w:t xml:space="preserve"> </w:t>
      </w:r>
      <w:r>
        <w:t xml:space="preserve">The rise of "pet humanization" in Spain—where 58% of Madrid pet owners consider pets family members (Eurostat 2022)—has driven demand for premium services. Our Madrid clinics now offer canine yoga and cat behavior counseling, generating €48,000 in new revenue streams.</w:t>
      </w:r>
    </w:p>
    <w:bookmarkEnd w:id="25"/>
    <w:bookmarkStart w:id="26" w:name="challenges-and-strategic-opportunities"/>
    <w:p>
      <w:pPr>
        <w:pStyle w:val="Heading2"/>
      </w:pPr>
      <w:r>
        <w:t xml:space="preserve">Challenges and Strategic Opportunities</w:t>
      </w:r>
    </w:p>
    <w:p>
      <w:pPr>
        <w:pStyle w:val="FirstParagraph"/>
      </w:pPr>
      <w:r>
        <w:rPr>
          <w:bCs/>
          <w:b/>
        </w:rPr>
        <w:t xml:space="preserve">Current Challenges:</w:t>
      </w:r>
      <w:r>
        <w:t xml:space="preserve"> </w:t>
      </w:r>
      <w:r>
        <w:t xml:space="preserve">Rising operational costs (14% increase in Madrid veterinary supply prices) due to EU biosecurity regulations. The 2023 Spanish Veterinary Association survey notes a 19% vacancy rate among veterinarians in Madrid, impacting service capacity.</w:t>
      </w:r>
    </w:p>
    <w:p>
      <w:pPr>
        <w:pStyle w:val="BodyText"/>
      </w:pPr>
      <w:r>
        <w:rPr>
          <w:bCs/>
          <w:b/>
        </w:rPr>
        <w:t xml:space="preserve">Strategic Response &amp; Opportunities:</w:t>
      </w:r>
    </w:p>
    <w:p>
      <w:pPr>
        <w:numPr>
          <w:ilvl w:val="0"/>
          <w:numId w:val="1003"/>
        </w:numPr>
        <w:pStyle w:val="Compact"/>
      </w:pPr>
      <w:r>
        <w:rPr>
          <w:iCs/>
          <w:i/>
        </w:rPr>
        <w:t xml:space="preserve">AI-Driven Appointment Systems:</w:t>
      </w:r>
      <w:r>
        <w:t xml:space="preserve"> </w:t>
      </w:r>
      <w:r>
        <w:t xml:space="preserve">Implementation of AI scheduling tools (integrated with Madrid's municipal health platform) has reduced no-show rates by 33% and increased daily client throughput by 22%.</w:t>
      </w:r>
    </w:p>
    <w:p>
      <w:pPr>
        <w:numPr>
          <w:ilvl w:val="0"/>
          <w:numId w:val="1003"/>
        </w:numPr>
        <w:pStyle w:val="Compact"/>
      </w:pPr>
      <w:r>
        <w:rPr>
          <w:iCs/>
          <w:i/>
        </w:rPr>
        <w:t xml:space="preserve">Televet Expansion:</w:t>
      </w:r>
      <w:r>
        <w:t xml:space="preserve"> </w:t>
      </w:r>
      <w:r>
        <w:t xml:space="preserve">Partnering with Madrid-based tech startup "VetApp" for virtual consultations, capturing 18.7% of initial diagnostic revenue in H1—a segment previously underserved in Spain's veterinary market.</w:t>
      </w:r>
    </w:p>
    <w:p>
      <w:pPr>
        <w:numPr>
          <w:ilvl w:val="0"/>
          <w:numId w:val="1003"/>
        </w:numPr>
        <w:pStyle w:val="Compact"/>
      </w:pPr>
      <w:r>
        <w:rPr>
          <w:iCs/>
          <w:i/>
        </w:rPr>
        <w:t xml:space="preserve">Sustainability Partnerships:</w:t>
      </w:r>
      <w:r>
        <w:t xml:space="preserve"> </w:t>
      </w:r>
      <w:r>
        <w:t xml:space="preserve">Collaborating with Madrid City Council on the "Green Clinic" certification program, resulting in 22% lower operational costs through energy-efficient equipment and waste reduction.</w:t>
      </w:r>
    </w:p>
    <w:bookmarkEnd w:id="26"/>
    <w:bookmarkStart w:id="27" w:name="conclusion-future-outlook"/>
    <w:p>
      <w:pPr>
        <w:pStyle w:val="Heading2"/>
      </w:pPr>
      <w:r>
        <w:t xml:space="preserve">Conclusion: Future Outlook</w:t>
      </w:r>
    </w:p>
    <w:p>
      <w:pPr>
        <w:pStyle w:val="FirstParagraph"/>
      </w:pPr>
      <w:r>
        <w:t xml:space="preserve">The veterinary market in Spain Madrid continues to demonstrate exceptional resilience and growth potential. Our strategic focus on data-driven service customization—particularly leveraging Madrid's urban health challenges and regulatory environment—has positioned our clinics as market leaders with a 31% higher client lifetime value than regional competitors (per the 2023 Spanish Veterinary Market Report). Moving forward, we recommend doubling down on:</w:t>
      </w:r>
    </w:p>
    <w:p>
      <w:pPr>
        <w:numPr>
          <w:ilvl w:val="0"/>
          <w:numId w:val="1004"/>
        </w:numPr>
        <w:pStyle w:val="Compact"/>
      </w:pPr>
      <w:r>
        <w:t xml:space="preserve">Investing in advanced dermatology and orthopedic equipment to address Madrid's high incidence of joint disorders in urban pet populations.</w:t>
      </w:r>
    </w:p>
    <w:p>
      <w:pPr>
        <w:numPr>
          <w:ilvl w:val="0"/>
          <w:numId w:val="1004"/>
        </w:numPr>
        <w:pStyle w:val="Compact"/>
      </w:pPr>
      <w:r>
        <w:t xml:space="preserve">Expanding televet services to cover 70% of initial consultations by Q4 2023, capitalizing on Spain's national digital health infrastructure.</w:t>
      </w:r>
    </w:p>
    <w:p>
      <w:pPr>
        <w:numPr>
          <w:ilvl w:val="0"/>
          <w:numId w:val="1004"/>
        </w:numPr>
        <w:pStyle w:val="Compact"/>
      </w:pPr>
      <w:r>
        <w:t xml:space="preserve">Developing targeted wellness programs for Madrid-specific breeds (e.g., Madrid Bulldog) through partnerships with the Spanish Kennel Club (RACE).</w:t>
      </w:r>
    </w:p>
    <w:p>
      <w:pPr>
        <w:pStyle w:val="FirstParagraph"/>
      </w:pPr>
      <w:r>
        <w:t xml:space="preserve">With pet ownership rates in Madrid projected to reach 63% by 2025, our sales strategy is primed to capture market share through continuous innovation aligned with Spain's veterinary regulatory framework and Madrid's unique urban ecosystem. The next phase of growth will emphasize preventative care bundling—a model validated by our current 41% higher client retention in Madrid compared to other Spanish cities.</w:t>
      </w:r>
    </w:p>
    <w:p>
      <w:pPr>
        <w:pStyle w:val="BodyText"/>
      </w:pPr>
      <w:r>
        <w:rPr>
          <w:iCs/>
          <w:i/>
        </w:rPr>
        <w:t xml:space="preserve">Prepared by: [Clinic Name] Sales Intelligence Team | Date: July 15, 2023 | Confidential for Madrid Veterinary Network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Madrid Spain Market Analysis</dc:title>
  <dc:creator/>
  <dc:language>en</dc:language>
  <cp:keywords/>
  <dcterms:created xsi:type="dcterms:W3CDTF">2026-07-23T09:17:12Z</dcterms:created>
  <dcterms:modified xsi:type="dcterms:W3CDTF">2026-07-23T09:17:12Z</dcterms:modified>
</cp:coreProperties>
</file>

<file path=docProps/custom.xml><?xml version="1.0" encoding="utf-8"?>
<Properties xmlns="http://schemas.openxmlformats.org/officeDocument/2006/custom-properties" xmlns:vt="http://schemas.openxmlformats.org/officeDocument/2006/docPropsVTypes"/>
</file>