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8" w:name="Xe080843ac7cbfe8a86df433638c0ed6f7c22404"/>
    <w:p>
      <w:pPr>
        <w:pStyle w:val="Heading1"/>
      </w:pPr>
      <w:r>
        <w:t xml:space="preserve">Comprehensive Sales Report: Veterinary Services in Bangkok, Thailand - Q3 2023 Performance Analysis</w:t>
      </w:r>
    </w:p>
    <w:bookmarkStart w:id="20" w:name="executive-summary"/>
    <w:p>
      <w:pPr>
        <w:pStyle w:val="Heading2"/>
      </w:pPr>
      <w:r>
        <w:t xml:space="preserve">Executive Summary</w:t>
      </w:r>
    </w:p>
    <w:p>
      <w:pPr>
        <w:pStyle w:val="FirstParagraph"/>
      </w:pPr>
      <w:r>
        <w:t xml:space="preserve">This quarterly Sales Report details the performance of veterinary services across Bangkok, Thailand's bustling capital city. As the pet ownership rate in Thailand continues its upward trajectory—surpassing 40% in urban households—the demand for premium veterinary care has become a critical growth sector. This document provides an in-depth analysis of sales trends, market dynamics, and strategic recommendations for veterinarians operating within the Bangkok ecosystem. The report confirms that our clinic's revenue grew by 18.7% compared to Q2 2023, significantly outperforming the national average of 10.3%, driven by targeted service expansion and cultural alignment with Thai pet owners' evolving needs.</w:t>
      </w:r>
    </w:p>
    <w:bookmarkEnd w:id="20"/>
    <w:bookmarkStart w:id="21" w:name="X74c865331e150c6134b49f7ddef46d4e95969dd"/>
    <w:p>
      <w:pPr>
        <w:pStyle w:val="Heading2"/>
      </w:pPr>
      <w:r>
        <w:t xml:space="preserve">Market Context: Veterinary Landscape in Thailand Bangkok</w:t>
      </w:r>
    </w:p>
    <w:p>
      <w:pPr>
        <w:pStyle w:val="FirstParagraph"/>
      </w:pPr>
      <w:r>
        <w:t xml:space="preserve">Bangkok represents the epicenter of veterinary innovation in Southeast Asia, housing over 65% of Thailand's specialized animal hospitals. The city's unique demographic—blending expatriate communities, affluent Thais, and rapidly growing middle-class pet owners—creates a diverse service demand profile. Unlike rural Thailand where basic care dominates, Bangkok clients prioritize preventative medicine and holistic wellness programs. Our Sales Report reveals that 68% of revenue now stems from non-essential premium services (e.g., dental cleanings, acupuncture), up from 42% in 2021. This shift reflects Bangkok's rising disposable income and cultural acceptance of pets as family members—a phenomenon deeply embedded in Thai society.</w:t>
      </w:r>
    </w:p>
    <w:bookmarkEnd w:id="21"/>
    <w:bookmarkStart w:id="23" w:name="q3-sales-performance-breakdown"/>
    <w:p>
      <w:pPr>
        <w:pStyle w:val="Heading2"/>
      </w:pPr>
      <w:r>
        <w:t xml:space="preserve">Q3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(THB)</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Premium Preventative Care</w:t>
            </w:r>
          </w:p>
        </w:tc>
        <w:tc>
          <w:tcPr/>
          <w:p>
            <w:pPr>
              <w:pStyle w:val="Compact"/>
              <w:jc w:val="left"/>
            </w:pPr>
            <w:r>
              <w:t xml:space="preserve">2,450,000</w:t>
            </w:r>
          </w:p>
        </w:tc>
        <w:tc>
          <w:tcPr/>
          <w:p>
            <w:pPr>
              <w:pStyle w:val="Compact"/>
              <w:jc w:val="left"/>
            </w:pPr>
            <w:r>
              <w:t xml:space="preserve">38.1%</w:t>
            </w:r>
          </w:p>
        </w:tc>
        <w:tc>
          <w:tcPr/>
          <w:p>
            <w:pPr>
              <w:pStyle w:val="Compact"/>
              <w:jc w:val="left"/>
            </w:pPr>
            <w:r>
              <w:t xml:space="preserve">+24.6%</w:t>
            </w:r>
          </w:p>
        </w:tc>
      </w:tr>
      <w:tr>
        <w:tc>
          <w:tcPr/>
          <w:p>
            <w:pPr>
              <w:pStyle w:val="Compact"/>
              <w:jc w:val="left"/>
            </w:pPr>
            <w:r>
              <w:t xml:space="preserve">Dental &amp; Oral Health</w:t>
            </w:r>
          </w:p>
        </w:tc>
        <w:tc>
          <w:tcPr/>
          <w:p>
            <w:pPr>
              <w:pStyle w:val="Compact"/>
              <w:jc w:val="left"/>
            </w:pPr>
            <w:r>
              <w:t xml:space="preserve">1,875,500</w:t>
            </w:r>
          </w:p>
        </w:tc>
        <w:tc>
          <w:tcPr/>
          <w:p>
            <w:pPr>
              <w:pStyle w:val="Compact"/>
              <w:jc w:val="left"/>
            </w:pPr>
            <w:r>
              <w:t xml:space="preserve">29.2%</w:t>
            </w:r>
          </w:p>
        </w:tc>
        <w:tc>
          <w:tcPr/>
          <w:p>
            <w:pPr>
              <w:pStyle w:val="Compact"/>
              <w:jc w:val="left"/>
            </w:pPr>
            <w:r>
              <w:t xml:space="preserve">+31.9%</w:t>
            </w:r>
          </w:p>
        </w:tc>
      </w:tr>
      <w:tr>
        <w:tc>
          <w:tcPr/>
          <w:p>
            <w:pPr>
              <w:pStyle w:val="Compact"/>
              <w:jc w:val="left"/>
            </w:pPr>
            <w:r>
              <w:t xml:space="preserve">Emergency &amp; Critical Care</w:t>
            </w:r>
          </w:p>
        </w:tc>
        <w:tc>
          <w:tcPr/>
          <w:p>
            <w:pPr>
              <w:pStyle w:val="Compact"/>
              <w:jc w:val="left"/>
            </w:pPr>
            <w:r>
              <w:t xml:space="preserve">987,400</w:t>
            </w:r>
          </w:p>
        </w:tc>
        <w:tc>
          <w:tcPr/>
          <w:p>
            <w:pPr>
              <w:pStyle w:val="Compact"/>
              <w:jc w:val="left"/>
            </w:pPr>
            <w:r>
              <w:t xml:space="preserve">15.4%</w:t>
            </w:r>
          </w:p>
        </w:tc>
        <w:tc>
          <w:tcPr/>
          <w:p>
            <w:pPr>
              <w:pStyle w:val="Compact"/>
              <w:jc w:val="left"/>
            </w:pPr>
            <w:r>
              <w:t xml:space="preserve">+12.3%</w:t>
            </w:r>
          </w:p>
        </w:tc>
      </w:tr>
      <w:tr>
        <w:tc>
          <w:tcPr/>
          <w:p>
            <w:pPr>
              <w:pStyle w:val="Compact"/>
              <w:jc w:val="left"/>
            </w:pPr>
            <w:r>
              <w:t xml:space="preserve">Holistic Therapies (Acupuncture, Herbal)</w:t>
            </w:r>
          </w:p>
        </w:tc>
        <w:tc>
          <w:tcPr/>
          <w:p>
            <w:pPr>
              <w:pStyle w:val="Compact"/>
              <w:jc w:val="left"/>
            </w:pPr>
            <w:r>
              <w:t xml:space="preserve">426,800</w:t>
            </w:r>
          </w:p>
        </w:tc>
        <w:tc>
          <w:tcPr/>
          <w:p>
            <w:pPr>
              <w:pStyle w:val="Compact"/>
              <w:jc w:val="left"/>
            </w:pPr>
            <w:r>
              <w:t xml:space="preserve">6.6%</w:t>
            </w:r>
          </w:p>
        </w:tc>
        <w:tc>
          <w:tcPr/>
          <w:p>
            <w:pPr>
              <w:pStyle w:val="Compact"/>
              <w:jc w:val="left"/>
            </w:pPr>
            <w:r>
              <w:t xml:space="preserve">+47.5%</w:t>
            </w:r>
          </w:p>
        </w:tc>
      </w:tr>
      <w:tr>
        <w:tc>
          <w:tcPr/>
          <w:p>
            <w:pPr>
              <w:pStyle w:val="Compact"/>
              <w:jc w:val="left"/>
            </w:pPr>
            <w:r>
              <w:t xml:space="preserve">Pharmacy &amp; Pet Supplies</w:t>
            </w:r>
          </w:p>
        </w:tc>
        <w:tc>
          <w:tcPr/>
          <w:p>
            <w:pPr>
              <w:pStyle w:val="Compact"/>
              <w:jc w:val="left"/>
            </w:pPr>
            <w:r>
              <w:t xml:space="preserve">312,900</w:t>
            </w:r>
          </w:p>
        </w:tc>
        <w:tc>
          <w:tcPr/>
          <w:p>
            <w:pPr>
              <w:pStyle w:val="Compact"/>
              <w:jc w:val="left"/>
            </w:pPr>
            <w:r>
              <w:t xml:space="preserve">4.9%</w:t>
            </w:r>
          </w:p>
        </w:tc>
        <w:tc>
          <w:tcPr/>
          <w:p>
            <w:pPr>
              <w:pStyle w:val="Compact"/>
              <w:jc w:val="left"/>
            </w:pPr>
            <w:r>
              <w:t xml:space="preserve">+8.1%</w:t>
            </w:r>
          </w:p>
        </w:tc>
      </w:tr>
      <w:tr>
        <w:tc>
          <w:tcPr/>
          <w:p>
            <w:pPr>
              <w:pStyle w:val="Compact"/>
              <w:jc w:val="left"/>
            </w:pPr>
            <w:r>
              <w:t xml:space="preserve">Total Revenue</w:t>
            </w:r>
          </w:p>
        </w:tc>
        <w:tc>
          <w:tcPr>
            <w:gridSpan w:val="2"/>
          </w:tcPr>
          <w:p>
            <w:pPr>
              <w:pStyle w:val="Compact"/>
              <w:jc w:val="left"/>
            </w:pPr>
            <w:r>
              <w:t xml:space="preserve">6,452,600 THB</w:t>
            </w:r>
          </w:p>
        </w:tc>
        <w:tc>
          <w:tcPr/>
          <w:p>
            <w:pPr>
              <w:pStyle w:val="Compact"/>
              <w:jc w:val="left"/>
            </w:pPr>
            <w:r>
              <w:t xml:space="preserve">+18.7%</w:t>
            </w:r>
          </w:p>
        </w:tc>
      </w:tr>
    </w:tbl>
    <w:bookmarkStart w:id="22" w:name="key-sales-drivers-in-bangkok-market"/>
    <w:p>
      <w:pPr>
        <w:pStyle w:val="Heading3"/>
      </w:pPr>
      <w:r>
        <w:t xml:space="preserve">Key Sales Drivers in Bangkok Market</w:t>
      </w:r>
    </w:p>
    <w:p>
      <w:pPr>
        <w:pStyle w:val="FirstParagraph"/>
      </w:pPr>
      <w:r>
        <w:t xml:space="preserve">Our analysis identifies three pivotal factors driving veterinary sales success in Thailand's capital:</w:t>
      </w:r>
    </w:p>
    <w:p>
      <w:pPr>
        <w:numPr>
          <w:ilvl w:val="0"/>
          <w:numId w:val="1001"/>
        </w:numPr>
        <w:pStyle w:val="Compact"/>
      </w:pPr>
      <w:r>
        <w:rPr>
          <w:bCs/>
          <w:b/>
        </w:rPr>
        <w:t xml:space="preserve">Cultural Resonance:</w:t>
      </w:r>
      <w:r>
        <w:t xml:space="preserve"> </w:t>
      </w:r>
      <w:r>
        <w:t xml:space="preserve">Clinics integrating Thai wellness traditions (e.g., offering traditional herbal supplements alongside Western medicine) saw 27% higher client retention. For instance, our "Nang Suan" (flower therapy) package for stress reduction in cats generated 18% of holistic service revenue.</w:t>
      </w:r>
    </w:p>
    <w:p>
      <w:pPr>
        <w:numPr>
          <w:ilvl w:val="0"/>
          <w:numId w:val="1001"/>
        </w:numPr>
        <w:pStyle w:val="Compact"/>
      </w:pPr>
      <w:r>
        <w:rPr>
          <w:bCs/>
          <w:b/>
        </w:rPr>
        <w:t xml:space="preserve">Seasonal Demand Patterns:</w:t>
      </w:r>
      <w:r>
        <w:t xml:space="preserve"> </w:t>
      </w:r>
      <w:r>
        <w:t xml:space="preserve">Sales spike during Songkran (Thai New Year) and Loy Krathong festivals when pet travel increases. In Q3, we implemented "Festival Pet Safety" packages (including microchipping and anti-flea treatments), contributing to 12% of emergency service revenue.</w:t>
      </w:r>
    </w:p>
    <w:p>
      <w:pPr>
        <w:numPr>
          <w:ilvl w:val="0"/>
          <w:numId w:val="1001"/>
        </w:numPr>
        <w:pStyle w:val="Compact"/>
      </w:pPr>
      <w:r>
        <w:rPr>
          <w:bCs/>
          <w:b/>
        </w:rPr>
        <w:t xml:space="preserve">Digital Adoption:</w:t>
      </w:r>
      <w:r>
        <w:t xml:space="preserve"> </w:t>
      </w:r>
      <w:r>
        <w:t xml:space="preserve">Bangkok's 92% smartphone penetration enabled our tele-veterinarian platform to drive 34% of new appointments. The "VetConnect" app—which allows Thai-language video consultations and e-prescriptions—reduced no-show rates by 22%.</w:t>
      </w:r>
    </w:p>
    <w:bookmarkEnd w:id="22"/>
    <w:bookmarkEnd w:id="23"/>
    <w:bookmarkStart w:id="24" w:name="X6a03f52caf2756855b2841e23b1f5dd23296906"/>
    <w:p>
      <w:pPr>
        <w:pStyle w:val="Heading2"/>
      </w:pPr>
      <w:r>
        <w:t xml:space="preserve">Challenges in Thailand Bangkok Veterinary Sales</w:t>
      </w:r>
    </w:p>
    <w:p>
      <w:pPr>
        <w:pStyle w:val="FirstParagraph"/>
      </w:pPr>
      <w:r>
        <w:t xml:space="preserve">Despite strong growth, our Sales Report identifies critical barriers unique to Bangkok's veterinary market:</w:t>
      </w:r>
    </w:p>
    <w:p>
      <w:pPr>
        <w:numPr>
          <w:ilvl w:val="0"/>
          <w:numId w:val="1002"/>
        </w:numPr>
        <w:pStyle w:val="Compact"/>
      </w:pPr>
      <w:r>
        <w:rPr>
          <w:bCs/>
          <w:b/>
        </w:rPr>
        <w:t xml:space="preserve">Pet Insurance Fragmentation:</w:t>
      </w:r>
      <w:r>
        <w:t xml:space="preserve"> </w:t>
      </w:r>
      <w:r>
        <w:t xml:space="preserve">Only 5% of Thai pet owners use insurance, creating revenue volatility. Competitors offering "Thailand Pet Health Plans" (e.g., with 30-day coverage for common illnesses) captured 14% of our potential new clients.</w:t>
      </w:r>
    </w:p>
    <w:p>
      <w:pPr>
        <w:numPr>
          <w:ilvl w:val="0"/>
          <w:numId w:val="1002"/>
        </w:numPr>
        <w:pStyle w:val="Compact"/>
      </w:pPr>
      <w:r>
        <w:rPr>
          <w:bCs/>
          <w:b/>
        </w:rPr>
        <w:t xml:space="preserve">Regulatory Hurdles:</w:t>
      </w:r>
      <w:r>
        <w:t xml:space="preserve"> </w:t>
      </w:r>
      <w:r>
        <w:t xml:space="preserve">Bangkok's Department of Livestock Development requires bi-annual licensing updates for veterinary staff. This caused a 7% revenue dip in Q2 due to delayed compliance paperwork at three clinics.</w:t>
      </w:r>
    </w:p>
    <w:p>
      <w:pPr>
        <w:numPr>
          <w:ilvl w:val="0"/>
          <w:numId w:val="1002"/>
        </w:numPr>
        <w:pStyle w:val="Compact"/>
      </w:pPr>
      <w:r>
        <w:rPr>
          <w:bCs/>
          <w:b/>
        </w:rPr>
        <w:t xml:space="preserve">Cultural Misalignment:</w:t>
      </w:r>
      <w:r>
        <w:t xml:space="preserve"> </w:t>
      </w:r>
      <w:r>
        <w:t xml:space="preserve">Initial attempts to market "dog daycare" services failed as Thais prefer pets at home during work hours. Post-crisis, we pivoted to "Pet Guardian Services" (including Thai-language care manuals), increasing adoption by 38%.</w:t>
      </w:r>
    </w:p>
    <w:bookmarkEnd w:id="24"/>
    <w:bookmarkStart w:id="25" w:name="X9dee5f11d518006401a5b8955bcc8675b731891"/>
    <w:p>
      <w:pPr>
        <w:pStyle w:val="Heading2"/>
      </w:pPr>
      <w:r>
        <w:t xml:space="preserve">Strategic Opportunities for Bangkok Veterinarians</w:t>
      </w:r>
    </w:p>
    <w:p>
      <w:pPr>
        <w:pStyle w:val="FirstParagraph"/>
      </w:pPr>
      <w:r>
        <w:t xml:space="preserve">The Q3 Sales Report highlights actionable growth avenues specific to Thailand's urban veterinary landscape:</w:t>
      </w:r>
    </w:p>
    <w:p>
      <w:pPr>
        <w:numPr>
          <w:ilvl w:val="0"/>
          <w:numId w:val="1003"/>
        </w:numPr>
        <w:pStyle w:val="Compact"/>
      </w:pPr>
      <w:r>
        <w:rPr>
          <w:bCs/>
          <w:b/>
        </w:rPr>
        <w:t xml:space="preserve">Expatriate Targeting:</w:t>
      </w:r>
      <w:r>
        <w:t xml:space="preserve"> </w:t>
      </w:r>
      <w:r>
        <w:t xml:space="preserve">With 87,000 expats in Bangkok (per Thai Foreign Ministry data), we developed "Global Pet Care" packages including English-speaking staff and international vaccination records. This segment generated THB 1.2M in Q3—up from THB 450K in Q1.</w:t>
      </w:r>
    </w:p>
    <w:p>
      <w:pPr>
        <w:numPr>
          <w:ilvl w:val="0"/>
          <w:numId w:val="1003"/>
        </w:numPr>
        <w:pStyle w:val="Compact"/>
      </w:pPr>
      <w:r>
        <w:rPr>
          <w:bCs/>
          <w:b/>
        </w:rPr>
        <w:t xml:space="preserve">Corporate Partnerships:</w:t>
      </w:r>
      <w:r>
        <w:t xml:space="preserve"> </w:t>
      </w:r>
      <w:r>
        <w:t xml:space="preserve">Collaborating with Bangkok tech firms for employee pet benefits (e.g., "Google Thailand" wellness partnership) added 23 new corporate accounts, representing 9% of total revenue growth.</w:t>
      </w:r>
    </w:p>
    <w:p>
      <w:pPr>
        <w:numPr>
          <w:ilvl w:val="0"/>
          <w:numId w:val="1003"/>
        </w:numPr>
        <w:pStyle w:val="Compact"/>
      </w:pPr>
      <w:r>
        <w:rPr>
          <w:bCs/>
          <w:b/>
        </w:rPr>
        <w:t xml:space="preserve">Sustainability Initiatives:</w:t>
      </w:r>
      <w:r>
        <w:t xml:space="preserve"> </w:t>
      </w:r>
      <w:r>
        <w:t xml:space="preserve">Launching "Eco-Vet" biodegradable product lines aligned with Bangkok's plastic ban policies. Sales of bamboo-based pet toys reached THB 145K—surpassing projections by 320%.</w:t>
      </w:r>
    </w:p>
    <w:bookmarkEnd w:id="25"/>
    <w:bookmarkStart w:id="26" w:name="X821ea0e9f5a11df0ba333bbea6f2fcd376420e9"/>
    <w:p>
      <w:pPr>
        <w:pStyle w:val="Heading2"/>
      </w:pPr>
      <w:r>
        <w:t xml:space="preserve">Future Outlook: Thailand Veterinary Market Projections</w:t>
      </w:r>
    </w:p>
    <w:p>
      <w:pPr>
        <w:pStyle w:val="FirstParagraph"/>
      </w:pPr>
      <w:r>
        <w:t xml:space="preserve">Bangkok's veterinary market is projected to reach THB 38.7 billion by 2026 (up from THB 19.4 billion in 2023), per the Thai Animal Welfare Foundation. Our Sales Report forecasts that clinics excelling in three areas will dominate:</w:t>
      </w:r>
    </w:p>
    <w:p>
      <w:pPr>
        <w:numPr>
          <w:ilvl w:val="0"/>
          <w:numId w:val="1004"/>
        </w:numPr>
        <w:pStyle w:val="Compact"/>
      </w:pPr>
      <w:r>
        <w:rPr>
          <w:bCs/>
          <w:b/>
        </w:rPr>
        <w:t xml:space="preserve">Cultural Intelligence:</w:t>
      </w:r>
      <w:r>
        <w:t xml:space="preserve"> </w:t>
      </w:r>
      <w:r>
        <w:t xml:space="preserve">Understanding Thai familial values (e.g., avoiding pet euthanasia unless medically necessary) builds trust and repeat business.</w:t>
      </w:r>
    </w:p>
    <w:p>
      <w:pPr>
        <w:numPr>
          <w:ilvl w:val="0"/>
          <w:numId w:val="1004"/>
        </w:numPr>
        <w:pStyle w:val="Compact"/>
      </w:pPr>
      <w:r>
        <w:rPr>
          <w:bCs/>
          <w:b/>
        </w:rPr>
        <w:t xml:space="preserve">Technology Integration:</w:t>
      </w:r>
      <w:r>
        <w:t xml:space="preserve"> </w:t>
      </w:r>
      <w:r>
        <w:t xml:space="preserve">AI-powered symptom checkers in Thai language will be non-negotiable by 2025. Our pilot "VetAI" app recorded a 4.7/5 customer satisfaction rating.</w:t>
      </w:r>
    </w:p>
    <w:p>
      <w:pPr>
        <w:numPr>
          <w:ilvl w:val="0"/>
          <w:numId w:val="1004"/>
        </w:numPr>
        <w:pStyle w:val="Compact"/>
      </w:pPr>
      <w:r>
        <w:rPr>
          <w:bCs/>
          <w:b/>
        </w:rPr>
        <w:t xml:space="preserve">Sustainable Pricing Models:</w:t>
      </w:r>
      <w:r>
        <w:t xml:space="preserve"> </w:t>
      </w:r>
      <w:r>
        <w:t xml:space="preserve">Tiered service plans (e.g., "Essential Care" for budget-conscious clients vs. "Pinnacle Wellness") will capture all market segments.</w:t>
      </w:r>
    </w:p>
    <w:bookmarkEnd w:id="26"/>
    <w:bookmarkStart w:id="27" w:name="X42dedf1a9d58a6ff1967fdd0d2d179a1e0c33e3"/>
    <w:p>
      <w:pPr>
        <w:pStyle w:val="Heading2"/>
      </w:pPr>
      <w:r>
        <w:t xml:space="preserve">Conclusion: The Bangkok Veterinarian Imperative</w:t>
      </w:r>
    </w:p>
    <w:p>
      <w:pPr>
        <w:pStyle w:val="FirstParagraph"/>
      </w:pPr>
      <w:r>
        <w:t xml:space="preserve">This Sales Report underscores that veterinary success in Thailand Bangkok transcends clinical expertise—it demands cultural fluency, adaptive business models, and community integration. The 18.7% revenue growth in Q3 was not accidental; it resulted from strategic investments aligned with Thai pet ownership psychology. Moving forward, we recommend doubling down on culturally resonant services while leveraging Bangkok's tech-savvy demographic for digital innovation. As Thailand's premier veterinary market continues to evolve, clinics that treat "Veterinarian" not as a profession but as a culturally embedded service—within the dynamic context of "Thailand Bangkok"—will define the future of animal healthcare in Southeast Asia. The numbers are clear: When veterinary care meets local values, both animals and business thrive.</w:t>
      </w:r>
    </w:p>
    <w:p>
      <w:pPr>
        <w:pStyle w:val="BodyText"/>
      </w:pPr>
      <w:r>
        <w:rPr>
          <w:iCs/>
          <w:i/>
        </w:rPr>
        <w:t xml:space="preserve">Sales Report Compiled for Thailand Veterinary Association | Q3 2023 | Confidential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Thailand Bangkok Market Analysis</dc:title>
  <dc:creator/>
  <dc:language>en</dc:language>
  <cp:keywords/>
  <dcterms:created xsi:type="dcterms:W3CDTF">2025-12-10T07:10:12Z</dcterms:created>
  <dcterms:modified xsi:type="dcterms:W3CDTF">2025-12-10T07:10:12Z</dcterms:modified>
</cp:coreProperties>
</file>

<file path=docProps/custom.xml><?xml version="1.0" encoding="utf-8"?>
<Properties xmlns="http://schemas.openxmlformats.org/officeDocument/2006/custom-properties" xmlns:vt="http://schemas.openxmlformats.org/officeDocument/2006/docPropsVTypes"/>
</file>