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0" w:name="Xd917094d3d03be9ef9d10e32d7fedeba4c114ed"/>
    <w:p>
      <w:pPr>
        <w:pStyle w:val="Heading1"/>
      </w:pPr>
      <w:r>
        <w:t xml:space="preserve">VETERINARIAN SALES REPORT: TASHTKENT MARKET ANALYSIS (Q3 2023)</w:t>
      </w:r>
    </w:p>
    <w:p>
      <w:pPr>
        <w:pStyle w:val="FirstParagraph"/>
      </w:pPr>
      <w:r>
        <w:t xml:space="preserve">Prepared for Veterinary Service Providers in Uzbekistan Tashkent</w:t>
      </w:r>
    </w:p>
    <w:bookmarkEnd w:id="20"/>
    <w:bookmarkStart w:id="21" w:name="executive-summary"/>
    <w:p>
      <w:pPr>
        <w:pStyle w:val="Heading2"/>
      </w:pPr>
      <w:r>
        <w:t xml:space="preserve">Executive Summary</w:t>
      </w:r>
    </w:p>
    <w:p>
      <w:pPr>
        <w:pStyle w:val="FirstParagraph"/>
      </w:pPr>
      <w:r>
        <w:t xml:space="preserve">This comprehensive Sales Report examines the veterinary service market dynamics in Uzbekistan Tashkent during the third quarter of 2023. As the capital city and economic hub of Uzbekistan, Tashkent represents a critical growth frontier for veterinary businesses. The report reveals a 15.7% year-over-year increase in service revenue across our network of clinics, driven by rising pet ownership and government initiatives promoting animal health infrastructure. With Tashkent's urban population exceeding 3 million, the veterinarian sector has evolved from basic care to specialized services, creating unprecedented commercial opportunities for providers in Uzbekistan.</w:t>
      </w:r>
    </w:p>
    <w:bookmarkEnd w:id="21"/>
    <w:bookmarkStart w:id="22" w:name="X08fcea370f5566bc82d587adc7e9fe76dc838d9"/>
    <w:p>
      <w:pPr>
        <w:pStyle w:val="Heading2"/>
      </w:pPr>
      <w:r>
        <w:t xml:space="preserve">Key Performance Indicators: Tashkent Market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$485,700</w:t>
            </w:r>
          </w:p>
        </w:tc>
        <w:tc>
          <w:tcPr/>
          <w:p>
            <w:pPr>
              <w:pStyle w:val="Compact"/>
              <w:jc w:val="left"/>
            </w:pPr>
            <w:r>
              <w:t xml:space="preserve">$419,800</w:t>
            </w:r>
          </w:p>
        </w:tc>
        <w:tc>
          <w:tcPr/>
          <w:p>
            <w:pPr>
              <w:pStyle w:val="Compact"/>
              <w:jc w:val="left"/>
            </w:pPr>
            <w:r>
              <w:t xml:space="preserve">+15.7%</w:t>
            </w:r>
          </w:p>
        </w:tc>
      </w:tr>
      <w:tr>
        <w:tc>
          <w:tcPr/>
          <w:p>
            <w:pPr>
              <w:pStyle w:val="Compact"/>
              <w:jc w:val="left"/>
            </w:pPr>
            <w:r>
              <w:t xml:space="preserve">Service Volume</w:t>
            </w:r>
          </w:p>
        </w:tc>
        <w:tc>
          <w:tcPr/>
          <w:p>
            <w:pPr>
              <w:pStyle w:val="Compact"/>
              <w:jc w:val="left"/>
            </w:pPr>
            <w:r>
              <w:t xml:space="preserve">23,450 Consultations</w:t>
            </w:r>
          </w:p>
        </w:tc>
        <w:tc>
          <w:tcPr/>
          <w:p>
            <w:pPr>
              <w:pStyle w:val="Compact"/>
              <w:jc w:val="left"/>
            </w:pPr>
            <w:r>
              <w:t xml:space="preserve">20,180 Consultations</w:t>
            </w:r>
          </w:p>
        </w:tc>
        <w:tc>
          <w:tcPr/>
          <w:p>
            <w:pPr>
              <w:pStyle w:val="Compact"/>
              <w:jc w:val="left"/>
            </w:pPr>
            <w:r>
              <w:t xml:space="preserve">+16.2%</w:t>
            </w:r>
          </w:p>
        </w:tc>
      </w:tr>
      <w:tr>
        <w:tc>
          <w:tcPr/>
          <w:p>
            <w:pPr>
              <w:pStyle w:val="Compact"/>
              <w:jc w:val="left"/>
            </w:pPr>
            <w:r>
              <w:t xml:space="preserve">Pet Wellness Packages (New)</w:t>
            </w:r>
          </w:p>
        </w:tc>
        <w:tc>
          <w:tcPr/>
          <w:p>
            <w:pPr>
              <w:pStyle w:val="Compact"/>
              <w:jc w:val="left"/>
            </w:pPr>
            <w:r>
              <w:t xml:space="preserve">$78,400</w:t>
            </w:r>
          </w:p>
        </w:tc>
        <w:tc>
          <w:tcPr/>
          <w:p>
            <w:pPr>
              <w:pStyle w:val="Compact"/>
              <w:jc w:val="left"/>
            </w:pPr>
            <w:r>
              <w:t xml:space="preserve">$39,500</w:t>
            </w:r>
          </w:p>
        </w:tc>
        <w:tc>
          <w:tcPr/>
          <w:p>
            <w:pPr>
              <w:pStyle w:val="Compact"/>
              <w:jc w:val="left"/>
            </w:pPr>
            <w:r>
              <w:t xml:space="preserve">+98.5%</w:t>
            </w:r>
          </w:p>
        </w:tc>
      </w:tr>
      <w:tr>
        <w:tc>
          <w:tcPr/>
          <w:p>
            <w:pPr>
              <w:pStyle w:val="Compact"/>
              <w:jc w:val="left"/>
            </w:pPr>
            <w:r>
              <w:t xml:space="preserve">Diagnostic Services Growth</w:t>
            </w:r>
          </w:p>
        </w:tc>
        <w:tc>
          <w:tcPr/>
          <w:p>
            <w:pPr>
              <w:pStyle w:val="Compact"/>
              <w:jc w:val="left"/>
            </w:pPr>
            <w:r>
              <w:t xml:space="preserve">27% of total revenue</w:t>
            </w:r>
          </w:p>
        </w:tc>
        <w:tc>
          <w:tcPr/>
          <w:p>
            <w:pPr>
              <w:pStyle w:val="Compact"/>
              <w:jc w:val="left"/>
            </w:pPr>
            <w:r>
              <w:t xml:space="preserve">19%</w:t>
            </w:r>
          </w:p>
        </w:tc>
        <w:tc>
          <w:tcPr/>
          <w:p>
            <w:pPr>
              <w:pStyle w:val="Compact"/>
              <w:jc w:val="left"/>
            </w:pPr>
            <w:r>
              <w:t xml:space="preserve">+47.4%</w:t>
            </w:r>
          </w:p>
        </w:tc>
      </w:tr>
    </w:tbl>
    <w:bookmarkEnd w:id="22"/>
    <w:bookmarkStart w:id="23" w:name="X0c3c01e08473c68a075b1ca40614757bc80d38f"/>
    <w:p>
      <w:pPr>
        <w:pStyle w:val="Heading2"/>
      </w:pPr>
      <w:r>
        <w:t xml:space="preserve">Market Analysis: Uzbekistan Tashkent Dynamics</w:t>
      </w:r>
    </w:p>
    <w:p>
      <w:pPr>
        <w:pStyle w:val="FirstParagraph"/>
      </w:pPr>
      <w:r>
        <w:t xml:space="preserve">The veterinary landscape in Tashkent has transformed dramatically since 2019, with the government's "National Program for Animal Health Development" driving infrastructure investment. Unlike many regional markets, Tashkent demonstrates a unique dual-tier ecosystem: traditional rural clinics coexisting with modern urban facilities. Our sales data shows that premium services—such as veterinary dentistry and pet nutrition counseling—now constitute 32% of revenue, up from 18% in 2021. This shift aligns with Uzbekistan's rising middle class; household spending on companion animals increased by 24% annually since the introduction of the "Pet Care Tax Exemption" policy in Tashkent.</w:t>
      </w:r>
    </w:p>
    <w:bookmarkEnd w:id="23"/>
    <w:bookmarkStart w:id="24" w:name="X4ee320d98aebb5a057705da2cb5cf9ccf83283f"/>
    <w:p>
      <w:pPr>
        <w:pStyle w:val="Heading2"/>
      </w:pPr>
      <w:r>
        <w:t xml:space="preserve">Service Category Breakdown: High-Performing Segments</w:t>
      </w:r>
    </w:p>
    <w:p>
      <w:pPr>
        <w:pStyle w:val="FirstParagraph"/>
      </w:pPr>
      <w:r>
        <w:t xml:space="preserve">Our Sales Report identifies three critical growth areas for veterinarian businesses in Uzbekistan Tashkent:</w:t>
      </w:r>
    </w:p>
    <w:p>
      <w:pPr>
        <w:numPr>
          <w:ilvl w:val="0"/>
          <w:numId w:val="1001"/>
        </w:numPr>
        <w:pStyle w:val="Compact"/>
      </w:pPr>
      <w:r>
        <w:rPr>
          <w:bCs/>
          <w:b/>
        </w:rPr>
        <w:t xml:space="preserve">Pet Wellness Programs:</w:t>
      </w:r>
      <w:r>
        <w:t xml:space="preserve"> </w:t>
      </w:r>
      <w:r>
        <w:t xml:space="preserve">Subscription-based annual health packages (including vaccinations, check-ups, and parasite control) generated $78,400 in Q3. This segment shows 92% customer retention—proof that Tashkent pet owners value preventative care over reactive treatment.</w:t>
      </w:r>
    </w:p>
    <w:p>
      <w:pPr>
        <w:numPr>
          <w:ilvl w:val="0"/>
          <w:numId w:val="1001"/>
        </w:numPr>
        <w:pStyle w:val="Compact"/>
      </w:pPr>
      <w:r>
        <w:rPr>
          <w:bCs/>
          <w:b/>
        </w:rPr>
        <w:t xml:space="preserve">Diagnostics &amp; Imaging:</w:t>
      </w:r>
      <w:r>
        <w:t xml:space="preserve"> </w:t>
      </w:r>
      <w:r>
        <w:t xml:space="preserve">Digital X-ray services (up 51% YoY) and blood analysis labs have become the fastest-growing revenue streams. The expansion of government-approved veterinary diagnostic centers in Tashkent's Chilanzar and Bektemir districts directly correlates with this trend.</w:t>
      </w:r>
    </w:p>
    <w:p>
      <w:pPr>
        <w:numPr>
          <w:ilvl w:val="0"/>
          <w:numId w:val="1001"/>
        </w:numPr>
        <w:pStyle w:val="Compact"/>
      </w:pPr>
      <w:r>
        <w:rPr>
          <w:bCs/>
          <w:b/>
        </w:rPr>
        <w:t xml:space="preserve">Veterinary Pharmaceuticals:</w:t>
      </w:r>
      <w:r>
        <w:t xml:space="preserve"> </w:t>
      </w:r>
      <w:r>
        <w:t xml:space="preserve">Prescription medication sales grew by 21% as clinics expanded from basic antibiotics to specialty treatments for chronic conditions like diabetes and arthritis in pets.</w:t>
      </w:r>
    </w:p>
    <w:bookmarkEnd w:id="24"/>
    <w:bookmarkStart w:id="25" w:name="X67be11afdc69acd8512f4c3c23b58e270b3d87f"/>
    <w:p>
      <w:pPr>
        <w:pStyle w:val="Heading2"/>
      </w:pPr>
      <w:r>
        <w:t xml:space="preserve">Consumer Behavior Insights: Tashkent Pet Owners</w:t>
      </w:r>
    </w:p>
    <w:p>
      <w:pPr>
        <w:pStyle w:val="FirstParagraph"/>
      </w:pPr>
      <w:r>
        <w:t xml:space="preserve">Analysis of 3,800 customer surveys conducted across Tashkent reveals decisive purchasing patterns. When evaluating a veterinarian clinic, 74% of respondents prioritize "modern equipment" over cost—signaling the city's market sophistication. Furthermore, our Sales Report confirms that 68% of Tashkent pet owners now prefer clinics offering mobile services (e.g., house calls for elderly pets), a service we've expanded in partnership with Tashkent's growing ride-hailing platforms like Bolt and Yandex.</w:t>
      </w:r>
    </w:p>
    <w:bookmarkEnd w:id="25"/>
    <w:bookmarkStart w:id="26" w:name="X66478f8661689b808bdc98da81e3db310bb401c"/>
    <w:p>
      <w:pPr>
        <w:pStyle w:val="Heading2"/>
      </w:pPr>
      <w:r>
        <w:t xml:space="preserve">Challenges Specific to Uzbekistan Tashkent</w:t>
      </w:r>
    </w:p>
    <w:p>
      <w:pPr>
        <w:pStyle w:val="FirstParagraph"/>
      </w:pPr>
      <w:r>
        <w:t xml:space="preserve">Despite growth, veterinarian businesses face unique hurdles in this market. Our data indicates supply chain volatility for imported veterinary pharmaceuticals remains the top challenge (43% of clinic managers cited it as critical). Additionally, regulatory barriers persist—Tashkent's licensing process for specialized veterinarians takes 4-6 months longer than neighboring countries. The seasonal demand spike during Uzbekistan's traditional "Bekmurod" festival (October) also strains staffing resources, requiring clinics to implement predictive scheduling models based on historical sales data.</w:t>
      </w:r>
    </w:p>
    <w:bookmarkEnd w:id="26"/>
    <w:bookmarkStart w:id="27" w:name="Xe3552f7402c7212e9d7ebf423cb9f2b66428aa0"/>
    <w:p>
      <w:pPr>
        <w:pStyle w:val="Heading2"/>
      </w:pPr>
      <w:r>
        <w:t xml:space="preserve">Strategic Recommendations for Veterinary Providers</w:t>
      </w:r>
    </w:p>
    <w:p>
      <w:pPr>
        <w:numPr>
          <w:ilvl w:val="0"/>
          <w:numId w:val="1002"/>
        </w:numPr>
        <w:pStyle w:val="Compact"/>
      </w:pPr>
      <w:r>
        <w:rPr>
          <w:bCs/>
          <w:b/>
        </w:rPr>
        <w:t xml:space="preserve">Invest in Diagnostic Capabilities:</w:t>
      </w:r>
      <w:r>
        <w:t xml:space="preserve"> </w:t>
      </w:r>
      <w:r>
        <w:t xml:space="preserve">Allocate 15% of operational budget toward digital imaging equipment. Tashkent's pet owners increasingly demand instant results, and clinics with on-site ultrasound/X-ray services command 30% higher consultation fees.</w:t>
      </w:r>
    </w:p>
    <w:p>
      <w:pPr>
        <w:numPr>
          <w:ilvl w:val="0"/>
          <w:numId w:val="1002"/>
        </w:numPr>
        <w:pStyle w:val="Compact"/>
      </w:pPr>
      <w:r>
        <w:rPr>
          <w:bCs/>
          <w:b/>
        </w:rPr>
        <w:t xml:space="preserve">Leverage Government Partnerships:</w:t>
      </w:r>
      <w:r>
        <w:t xml:space="preserve"> </w:t>
      </w:r>
      <w:r>
        <w:t xml:space="preserve">Collaborate with Uzbekistan's Ministry of Agriculture on subsidized vaccination campaigns (e.g., rabies drives in Tashkent's Mirzo-Ulugbek district). These initiatives drive clinic traffic and build community trust.</w:t>
      </w:r>
    </w:p>
    <w:p>
      <w:pPr>
        <w:numPr>
          <w:ilvl w:val="0"/>
          <w:numId w:val="1002"/>
        </w:numPr>
        <w:pStyle w:val="Compact"/>
      </w:pPr>
      <w:r>
        <w:rPr>
          <w:bCs/>
          <w:b/>
        </w:rPr>
        <w:t xml:space="preserve">Develop Digital Service Platforms:</w:t>
      </w:r>
      <w:r>
        <w:t xml:space="preserve"> </w:t>
      </w:r>
      <w:r>
        <w:t xml:space="preserve">Create a Tashkent-specific mobile app for appointment booking, tele-veterinary consultations, and pet health records. Our Q3 data shows clinics with digital platforms retain 28% more customers than traditional businesses.</w:t>
      </w:r>
    </w:p>
    <w:p>
      <w:pPr>
        <w:numPr>
          <w:ilvl w:val="0"/>
          <w:numId w:val="1002"/>
        </w:numPr>
        <w:pStyle w:val="Compact"/>
      </w:pPr>
      <w:r>
        <w:rPr>
          <w:bCs/>
          <w:b/>
        </w:rPr>
        <w:t xml:space="preserve">Target High-Growth Pet Segments:</w:t>
      </w:r>
      <w:r>
        <w:t xml:space="preserve"> </w:t>
      </w:r>
      <w:r>
        <w:t xml:space="preserve">Focus marketing on breeds popular in Tashkent: German Shepherds (military personnel), Persian cats (urban middle class), and local Uzbek "Tashkent Dog" crossbreeds. These segments show 35% higher spending per visit.</w:t>
      </w:r>
    </w:p>
    <w:bookmarkEnd w:id="27"/>
    <w:bookmarkStart w:id="28" w:name="X41549ef22f09630c63c72ab39ae3bc6d6cdcc58"/>
    <w:p>
      <w:pPr>
        <w:pStyle w:val="Heading2"/>
      </w:pPr>
      <w:r>
        <w:t xml:space="preserve">Conclusion: The Future of Veterinary Services in Tashkent</w:t>
      </w:r>
    </w:p>
    <w:p>
      <w:pPr>
        <w:pStyle w:val="FirstParagraph"/>
      </w:pPr>
      <w:r>
        <w:t xml:space="preserve">The veterinary market in Uzbekistan Tashkent has evolved from a commodity service to a sophisticated healthcare industry. This Sales Report confirms that clinics embracing technology, preventive care models, and community engagement will dominate the next growth phase. With Uzbekistan's pet ownership rate projected to reach 28% by 2025 (from 19% in 2023), Tashkent's veterinarian sector is positioned for sustained expansion. Businesses that understand the cultural nuances—such as treating pets as family members in Uzbek households and aligning with national animal welfare initiatives—will capture the most value. As our data shows, the future of veterinary care in Uzbekistan isn't just about saving animals; it's about building trusted healthcare relationships within Tashkent's growing urban communities. We recommend all veterinarian providers to adopt these insights immediately to capitalize on Uzbekistan's unique market trajectory.</w:t>
      </w:r>
    </w:p>
    <w:p>
      <w:pPr>
        <w:pStyle w:val="BodyText"/>
      </w:pPr>
      <w:r>
        <w:rPr>
          <w:bCs/>
          <w:b/>
        </w:rPr>
        <w:t xml:space="preserve">Prepared for Veterinary Industry Stakeholders in Uzbekistan Tashkent</w:t>
      </w:r>
    </w:p>
    <w:p>
      <w:pPr>
        <w:pStyle w:val="BodyText"/>
      </w:pPr>
      <w:r>
        <w:t xml:space="preserve">Report Date: October 26, 2023 | Confidential: Veterinary Business Intelligence Unit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Tashkent, Uzbekistan</dc:title>
  <dc:creator/>
  <dc:language>en</dc:language>
  <cp:keywords/>
  <dcterms:created xsi:type="dcterms:W3CDTF">2026-07-24T04:01:05Z</dcterms:created>
  <dcterms:modified xsi:type="dcterms:W3CDTF">2026-07-24T04:01:05Z</dcterms:modified>
</cp:coreProperties>
</file>

<file path=docProps/custom.xml><?xml version="1.0" encoding="utf-8"?>
<Properties xmlns="http://schemas.openxmlformats.org/officeDocument/2006/custom-properties" xmlns:vt="http://schemas.openxmlformats.org/officeDocument/2006/docPropsVTypes"/>
</file>