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Videography</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a443c777ac5ff241bf60606c52e385027264b04"/>
    <w:p>
      <w:pPr>
        <w:pStyle w:val="Heading1"/>
      </w:pPr>
      <w:r>
        <w:t xml:space="preserve">Q3 2023 Sales Report: Premium Videography Services in Kuwait City</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premium videography services across Kuwait City, highlighting exceptional growth in demand for professional visual storytelling. As a leading</w:t>
      </w:r>
      <w:r>
        <w:t xml:space="preserve"> </w:t>
      </w:r>
      <w:r>
        <w:rPr>
          <w:bCs/>
          <w:b/>
        </w:rPr>
        <w:t xml:space="preserve">Videographer</w:t>
      </w:r>
      <w:r>
        <w:t xml:space="preserve"> </w:t>
      </w:r>
      <w:r>
        <w:t xml:space="preserve">service provider operating exclusively within Kuwait City, we've achieved a 37% year-over-year revenue increase through strategic market positioning and culturally attuned content solutions. This document underscores how our localized expertise has positioned us at the forefront of Kuwait's dynamic media landscape, with all data points reflecting operations specifically within</w:t>
      </w:r>
      <w:r>
        <w:t xml:space="preserve"> </w:t>
      </w:r>
      <w:r>
        <w:rPr>
          <w:bCs/>
          <w:b/>
        </w:rPr>
        <w:t xml:space="preserve">Kuwait City</w:t>
      </w:r>
      <w:r>
        <w:t xml:space="preserve"> </w:t>
      </w:r>
      <w:r>
        <w:t xml:space="preserve">boundaries.</w:t>
      </w:r>
    </w:p>
    <w:bookmarkEnd w:id="20"/>
    <w:bookmarkStart w:id="21" w:name="X8426745c654080e8425b23981d0deca9c45d2c1"/>
    <w:p>
      <w:pPr>
        <w:pStyle w:val="Heading2"/>
      </w:pPr>
      <w:r>
        <w:t xml:space="preserve">Market Analysis: The Kuwait City Videography Landscape</w:t>
      </w:r>
    </w:p>
    <w:p>
      <w:pPr>
        <w:pStyle w:val="FirstParagraph"/>
      </w:pPr>
      <w:r>
        <w:t xml:space="preserve">The visual content market in Kuwait City has undergone transformative growth, driven by digital acceleration and cultural shifts. As the economic and media hub of Kuwait,</w:t>
      </w:r>
      <w:r>
        <w:t xml:space="preserve"> </w:t>
      </w:r>
      <w:r>
        <w:rPr>
          <w:bCs/>
          <w:b/>
        </w:rPr>
        <w:t xml:space="preserve">Kuwait City</w:t>
      </w:r>
      <w:r>
        <w:t xml:space="preserve"> </w:t>
      </w:r>
      <w:r>
        <w:t xml:space="preserve">demands videography services that resonate with local sensibilities while meeting international standards. Our</w:t>
      </w:r>
      <w:r>
        <w:t xml:space="preserve"> </w:t>
      </w:r>
      <w:r>
        <w:rPr>
          <w:bCs/>
          <w:b/>
        </w:rPr>
        <w:t xml:space="preserve">Videographer</w:t>
      </w:r>
      <w:r>
        <w:t xml:space="preserve"> </w:t>
      </w:r>
      <w:r>
        <w:t xml:space="preserve">team has capitalized on this trend by developing culturally specific content frameworks – from Ramadan campaign productions for major malls to corporate videos tailored for Kuwaiti business etiquette. The Q3 sales data confirms our market leadership, with 68% of new contracts originating from Kuwait City-based clients seeking authentic local storytelling.</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Sales (KWD)</w:t>
            </w:r>
          </w:p>
        </w:tc>
        <w:tc>
          <w:tcPr/>
          <w:p>
            <w:pPr>
              <w:pStyle w:val="Compact"/>
              <w:jc w:val="left"/>
            </w:pPr>
            <w:r>
              <w:t xml:space="preserve">% Change YoY</w:t>
            </w:r>
          </w:p>
        </w:tc>
        <w:tc>
          <w:tcPr/>
          <w:p>
            <w:pPr>
              <w:pStyle w:val="Compact"/>
              <w:jc w:val="left"/>
            </w:pPr>
            <w:r>
              <w:t xml:space="preserve">Kuwait City Market Share</w:t>
            </w:r>
          </w:p>
        </w:tc>
      </w:tr>
      <w:tr>
        <w:tc>
          <w:tcPr/>
          <w:p>
            <w:pPr>
              <w:pStyle w:val="Compact"/>
              <w:jc w:val="left"/>
            </w:pPr>
            <w:r>
              <w:t xml:space="preserve">Corporate Branding Videos</w:t>
            </w:r>
          </w:p>
        </w:tc>
        <w:tc>
          <w:tcPr/>
          <w:p>
            <w:pPr>
              <w:pStyle w:val="Compact"/>
              <w:jc w:val="left"/>
            </w:pPr>
            <w:r>
              <w:t xml:space="preserve">125,000</w:t>
            </w:r>
          </w:p>
        </w:tc>
        <w:tc>
          <w:tcPr/>
          <w:p>
            <w:pPr>
              <w:pStyle w:val="Compact"/>
              <w:jc w:val="left"/>
            </w:pPr>
            <w:r>
              <w:t xml:space="preserve">+42%</w:t>
            </w:r>
          </w:p>
        </w:tc>
        <w:tc>
          <w:tcPr/>
          <w:p>
            <w:pPr>
              <w:pStyle w:val="Compact"/>
              <w:jc w:val="left"/>
            </w:pPr>
            <w:r>
              <w:t xml:space="preserve">38%</w:t>
            </w:r>
          </w:p>
        </w:tc>
      </w:tr>
      <w:tr>
        <w:tc>
          <w:tcPr/>
          <w:p>
            <w:pPr>
              <w:pStyle w:val="Compact"/>
              <w:jc w:val="left"/>
            </w:pPr>
            <w:r>
              <w:t xml:space="preserve">Event Documentation (Weddings, Conferences)</w:t>
            </w:r>
          </w:p>
        </w:tc>
        <w:tc>
          <w:tcPr/>
          <w:p>
            <w:pPr>
              <w:pStyle w:val="Compact"/>
              <w:jc w:val="left"/>
            </w:pPr>
            <w:r>
              <w:t xml:space="preserve">98,500</w:t>
            </w:r>
          </w:p>
        </w:tc>
        <w:tc>
          <w:tcPr/>
          <w:p>
            <w:pPr>
              <w:pStyle w:val="Compact"/>
              <w:jc w:val="left"/>
            </w:pPr>
            <w:r>
              <w:t xml:space="preserve">+29%</w:t>
            </w:r>
          </w:p>
        </w:tc>
        <w:tc>
          <w:tcPr/>
          <w:p>
            <w:pPr>
              <w:pStyle w:val="Compact"/>
              <w:jc w:val="left"/>
            </w:pPr>
            <w:r>
              <w:t xml:space="preserve">41%</w:t>
            </w:r>
          </w:p>
        </w:tc>
      </w:tr>
      <w:tr>
        <w:tc>
          <w:tcPr/>
          <w:p>
            <w:pPr>
              <w:pStyle w:val="Compact"/>
              <w:jc w:val="left"/>
            </w:pPr>
            <w:r>
              <w:t xml:space="preserve">Real Estate Marketing</w:t>
            </w:r>
          </w:p>
        </w:tc>
        <w:tc>
          <w:tcPr/>
          <w:p>
            <w:pPr>
              <w:pStyle w:val="Compact"/>
              <w:jc w:val="left"/>
            </w:pPr>
            <w:r>
              <w:t xml:space="preserve">76,300</w:t>
            </w:r>
          </w:p>
        </w:tc>
        <w:tc>
          <w:tcPr/>
          <w:p>
            <w:pPr>
              <w:pStyle w:val="Compact"/>
              <w:jc w:val="left"/>
            </w:pPr>
            <w:r>
              <w:t xml:space="preserve">+53%</w:t>
            </w:r>
          </w:p>
        </w:tc>
        <w:tc>
          <w:tcPr/>
          <w:p>
            <w:pPr>
              <w:pStyle w:val="Compact"/>
              <w:jc w:val="left"/>
            </w:pPr>
            <w:r>
              <w:t xml:space="preserve">52%</w:t>
            </w:r>
          </w:p>
        </w:tc>
      </w:tr>
      <w:tr>
        <w:tc>
          <w:tcPr/>
          <w:p>
            <w:pPr>
              <w:pStyle w:val="Compact"/>
              <w:jc w:val="left"/>
            </w:pPr>
            <w:r>
              <w:t xml:space="preserve">Total Revenue (Q3)</w:t>
            </w:r>
          </w:p>
        </w:tc>
        <w:tc>
          <w:tcPr/>
          <w:p>
            <w:pPr>
              <w:pStyle w:val="Compact"/>
              <w:jc w:val="left"/>
            </w:pPr>
            <w:r>
              <w:t xml:space="preserve">299,800 KWD</w:t>
            </w:r>
          </w:p>
        </w:tc>
        <w:tc>
          <w:tcPr/>
          <w:p>
            <w:pPr>
              <w:pStyle w:val="Compact"/>
              <w:jc w:val="left"/>
            </w:pPr>
            <w:r>
              <w:t xml:space="preserve">+37%</w:t>
            </w:r>
          </w:p>
        </w:tc>
        <w:tc>
          <w:tcPr/>
          <w:p>
            <w:pPr>
              <w:pStyle w:val="Compact"/>
              <w:jc w:val="left"/>
            </w:pPr>
            <w:r>
              <w:t xml:space="preserve">Industry Leader</w:t>
            </w:r>
          </w:p>
        </w:tc>
      </w:tr>
    </w:tbl>
    <w:p>
      <w:pPr>
        <w:pStyle w:val="BodyText"/>
      </w:pPr>
      <w:r>
        <w:t xml:space="preserve">Notably, all sales figures above represent contracts fulfilled exclusively within</w:t>
      </w:r>
      <w:r>
        <w:t xml:space="preserve"> </w:t>
      </w:r>
      <w:r>
        <w:rPr>
          <w:bCs/>
          <w:b/>
        </w:rPr>
        <w:t xml:space="preserve">Kuwait City</w:t>
      </w:r>
      <w:r>
        <w:t xml:space="preserve">. Our strategic decision to centralize operations in the capital has proven decisive – 94% of our largest clients (including Ministry of Commerce partners and Al Ahmadi Hospital) are headquartered in Kuwait City. The</w:t>
      </w:r>
      <w:r>
        <w:t xml:space="preserve"> </w:t>
      </w:r>
      <w:r>
        <w:rPr>
          <w:bCs/>
          <w:b/>
        </w:rPr>
        <w:t xml:space="preserve">Videographer</w:t>
      </w:r>
      <w:r>
        <w:t xml:space="preserve"> </w:t>
      </w:r>
      <w:r>
        <w:t xml:space="preserve">team's deep understanding of local venues, cultural protocols, and regulatory requirements has been instrumental in securing these high-value contracts.</w:t>
      </w:r>
    </w:p>
    <w:bookmarkEnd w:id="22"/>
    <w:bookmarkStart w:id="23" w:name="X4a97e07e04df7484ae1a05c3d1bdf0a52157b09"/>
    <w:p>
      <w:pPr>
        <w:pStyle w:val="Heading2"/>
      </w:pPr>
      <w:r>
        <w:t xml:space="preserve">Client Acquisition Strategy in Kuwait City</w:t>
      </w:r>
    </w:p>
    <w:p>
      <w:pPr>
        <w:pStyle w:val="FirstParagraph"/>
      </w:pPr>
      <w:r>
        <w:t xml:space="preserve">Our sales methodology focuses on hyper-local engagement within</w:t>
      </w:r>
      <w:r>
        <w:t xml:space="preserve"> </w:t>
      </w:r>
      <w:r>
        <w:rPr>
          <w:bCs/>
          <w:b/>
        </w:rPr>
        <w:t xml:space="preserve">Kuwait City</w:t>
      </w:r>
      <w:r>
        <w:t xml:space="preserve">. Unlike international competitors, we've built relationships through:</w:t>
      </w:r>
    </w:p>
    <w:p>
      <w:pPr>
        <w:numPr>
          <w:ilvl w:val="0"/>
          <w:numId w:val="1001"/>
        </w:numPr>
        <w:pStyle w:val="Compact"/>
      </w:pPr>
      <w:r>
        <w:rPr>
          <w:bCs/>
          <w:b/>
        </w:rPr>
        <w:t xml:space="preserve">Local Partnership Ecosystems:</w:t>
      </w:r>
      <w:r>
        <w:t xml:space="preserve"> </w:t>
      </w:r>
      <w:r>
        <w:t xml:space="preserve">Collaborating with Kuwait City-based event planners (e.g., Gulf Events) and real estate agencies (including Al Ahmadi Development) to co-deliver integrated solutions</w:t>
      </w:r>
    </w:p>
    <w:p>
      <w:pPr>
        <w:numPr>
          <w:ilvl w:val="0"/>
          <w:numId w:val="1001"/>
        </w:numPr>
        <w:pStyle w:val="Compact"/>
      </w:pPr>
      <w:r>
        <w:rPr>
          <w:bCs/>
          <w:b/>
        </w:rPr>
        <w:t xml:space="preserve">Cultural Intelligence Workshops:</w:t>
      </w:r>
      <w:r>
        <w:t xml:space="preserve"> </w:t>
      </w:r>
      <w:r>
        <w:t xml:space="preserve">Training our</w:t>
      </w:r>
      <w:r>
        <w:t xml:space="preserve"> </w:t>
      </w:r>
      <w:r>
        <w:rPr>
          <w:bCs/>
          <w:b/>
        </w:rPr>
        <w:t xml:space="preserve">Videographer</w:t>
      </w:r>
      <w:r>
        <w:t xml:space="preserve"> </w:t>
      </w:r>
      <w:r>
        <w:t xml:space="preserve">team in Kuwaiti business customs, which increased client retention by 28%</w:t>
      </w:r>
    </w:p>
    <w:p>
      <w:pPr>
        <w:numPr>
          <w:ilvl w:val="0"/>
          <w:numId w:val="1001"/>
        </w:numPr>
        <w:pStyle w:val="Compact"/>
      </w:pPr>
      <w:r>
        <w:rPr>
          <w:bCs/>
          <w:b/>
        </w:rPr>
        <w:t xml:space="preserve">Kuwait City-Specific Portfolio:</w:t>
      </w:r>
      <w:r>
        <w:t xml:space="preserve"> </w:t>
      </w:r>
      <w:r>
        <w:t xml:space="preserve">Showcasing only productions filmed at landmarks like Kuwait Towers, Souq Al-Mubarakiya, and The Avenues Mall</w:t>
      </w:r>
    </w:p>
    <w:p>
      <w:pPr>
        <w:pStyle w:val="FirstParagraph"/>
      </w:pPr>
      <w:r>
        <w:t xml:space="preserve">This localized approach generated a 57% referral rate from existing Kuwait City clients – significantly higher than the industry average of 32%. The most successful campaign was for Mubarak Al-Abdullah Hospital's "Kuwaiti Healthcare Journey" video series, produced entirely within Kuwait City and featured in local media channels.</w:t>
      </w:r>
    </w:p>
    <w:bookmarkEnd w:id="23"/>
    <w:bookmarkStart w:id="24" w:name="key-challenges-solutions"/>
    <w:p>
      <w:pPr>
        <w:pStyle w:val="Heading2"/>
      </w:pPr>
      <w:r>
        <w:t xml:space="preserve">Key Challenges &amp; Solutions</w:t>
      </w:r>
    </w:p>
    <w:p>
      <w:pPr>
        <w:pStyle w:val="FirstParagraph"/>
      </w:pPr>
      <w:r>
        <w:t xml:space="preserve">Operating as a dedicated</w:t>
      </w:r>
      <w:r>
        <w:t xml:space="preserve"> </w:t>
      </w:r>
      <w:r>
        <w:rPr>
          <w:bCs/>
          <w:b/>
        </w:rPr>
        <w:t xml:space="preserve">Videographer</w:t>
      </w:r>
      <w:r>
        <w:t xml:space="preserve"> </w:t>
      </w:r>
      <w:r>
        <w:t xml:space="preserve">service within Kuwait City presented unique challenges:</w:t>
      </w:r>
    </w:p>
    <w:p>
      <w:pPr>
        <w:numPr>
          <w:ilvl w:val="0"/>
          <w:numId w:val="1002"/>
        </w:numPr>
        <w:pStyle w:val="Compact"/>
      </w:pPr>
      <w:r>
        <w:rPr>
          <w:bCs/>
          <w:b/>
        </w:rPr>
        <w:t xml:space="preserve">Cultural Sensitivity Requirements:</w:t>
      </w:r>
      <w:r>
        <w:t xml:space="preserve"> </w:t>
      </w:r>
      <w:r>
        <w:t xml:space="preserve">Some clients initially resisted modern visual styles. Our solution: Developing a "Kuwaiti Visual Style Guide" approved by local cultural consultants, directly increasing conversion rates by 33%.</w:t>
      </w:r>
    </w:p>
    <w:p>
      <w:pPr>
        <w:numPr>
          <w:ilvl w:val="0"/>
          <w:numId w:val="1002"/>
        </w:numPr>
        <w:pStyle w:val="Compact"/>
      </w:pPr>
      <w:r>
        <w:rPr>
          <w:bCs/>
          <w:b/>
        </w:rPr>
        <w:t xml:space="preserve">Infrastructure Limitations:</w:t>
      </w:r>
      <w:r>
        <w:t xml:space="preserve"> </w:t>
      </w:r>
      <w:r>
        <w:t xml:space="preserve">Limited high-speed internet in certain Kuwait City zones delayed cloud-based workflows. Implemented: On-site data hubs at our Kuwait City office and strategic partnerships with Zain and VIVA for priority connectivity.</w:t>
      </w:r>
    </w:p>
    <w:p>
      <w:pPr>
        <w:numPr>
          <w:ilvl w:val="0"/>
          <w:numId w:val="1002"/>
        </w:numPr>
        <w:pStyle w:val="Compact"/>
      </w:pPr>
      <w:r>
        <w:rPr>
          <w:bCs/>
          <w:b/>
        </w:rPr>
        <w:t xml:space="preserve">Seasonal Demand Peaks:</w:t>
      </w:r>
      <w:r>
        <w:t xml:space="preserve"> </w:t>
      </w:r>
      <w:r>
        <w:t xml:space="preserve">70% of contracts originate during Q3/Q4 (post-Ramadan, pre-Christmas). Addressed by creating a dedicated "Kuwait City Seasonal Response Team" that reduced delivery times by 52% during peak periods.</w:t>
      </w:r>
    </w:p>
    <w:bookmarkEnd w:id="24"/>
    <w:bookmarkStart w:id="25" w:name="Xb310b9c5b5e00206fe862c9f44cfab013543549"/>
    <w:p>
      <w:pPr>
        <w:pStyle w:val="Heading2"/>
      </w:pPr>
      <w:r>
        <w:t xml:space="preserve">Strategic Recommendations for Kuwait City Growth</w:t>
      </w:r>
    </w:p>
    <w:p>
      <w:pPr>
        <w:pStyle w:val="FirstParagraph"/>
      </w:pPr>
      <w:r>
        <w:t xml:space="preserve">Based on this Q3</w:t>
      </w:r>
      <w:r>
        <w:t xml:space="preserve"> </w:t>
      </w:r>
      <w:r>
        <w:rPr>
          <w:bCs/>
          <w:b/>
        </w:rPr>
        <w:t xml:space="preserve">Sales Report</w:t>
      </w:r>
      <w:r>
        <w:t xml:space="preserve">, we recommend three targeted initiatives for sustained growth in</w:t>
      </w:r>
      <w:r>
        <w:t xml:space="preserve"> </w:t>
      </w:r>
      <w:r>
        <w:rPr>
          <w:bCs/>
          <w:b/>
        </w:rPr>
        <w:t xml:space="preserve">Kuwait City</w:t>
      </w:r>
      <w:r>
        <w:t xml:space="preserve">:</w:t>
      </w:r>
    </w:p>
    <w:p>
      <w:pPr>
        <w:numPr>
          <w:ilvl w:val="0"/>
          <w:numId w:val="1003"/>
        </w:numPr>
        <w:pStyle w:val="Compact"/>
      </w:pPr>
      <w:r>
        <w:rPr>
          <w:bCs/>
          <w:b/>
        </w:rPr>
        <w:t xml:space="preserve">Launch "Kuwait City Heritage Series":</w:t>
      </w:r>
      <w:r>
        <w:t xml:space="preserve"> </w:t>
      </w:r>
      <w:r>
        <w:t xml:space="preserve">A branded video project documenting cultural landmarks and traditions across Kuwait City, to be distributed through government partnerships (e.g., Ministry of Information). This positions us as the definitive</w:t>
      </w:r>
      <w:r>
        <w:t xml:space="preserve"> </w:t>
      </w:r>
      <w:r>
        <w:rPr>
          <w:bCs/>
          <w:b/>
        </w:rPr>
        <w:t xml:space="preserve">Videographer</w:t>
      </w:r>
      <w:r>
        <w:t xml:space="preserve"> </w:t>
      </w:r>
      <w:r>
        <w:t xml:space="preserve">for national identity storytelling.</w:t>
      </w:r>
    </w:p>
    <w:p>
      <w:pPr>
        <w:numPr>
          <w:ilvl w:val="0"/>
          <w:numId w:val="1003"/>
        </w:numPr>
        <w:pStyle w:val="Compact"/>
      </w:pPr>
      <w:r>
        <w:rPr>
          <w:bCs/>
          <w:b/>
        </w:rPr>
        <w:t xml:space="preserve">Kuwait City Business Development Accelerator:</w:t>
      </w:r>
      <w:r>
        <w:t xml:space="preserve"> </w:t>
      </w:r>
      <w:r>
        <w:t xml:space="preserve">Targeting 20 new corporate clients in Al-Razi and New Fuwairit business districts through tailored workshops on "Visual Branding for Kuwaiti SMEs."</w:t>
      </w:r>
    </w:p>
    <w:p>
      <w:pPr>
        <w:numPr>
          <w:ilvl w:val="0"/>
          <w:numId w:val="1003"/>
        </w:numPr>
        <w:pStyle w:val="Compact"/>
      </w:pPr>
      <w:r>
        <w:rPr>
          <w:bCs/>
          <w:b/>
        </w:rPr>
        <w:t xml:space="preserve">AI-Powered Local Content Analytics:</w:t>
      </w:r>
      <w:r>
        <w:t xml:space="preserve"> </w:t>
      </w:r>
      <w:r>
        <w:t xml:space="preserve">Developing a Kuwait City-specific content performance dashboard to show clients real-time engagement metrics from local audiences, enhancing sales conversions by predicting trending visual themes.</w:t>
      </w:r>
    </w:p>
    <w:bookmarkEnd w:id="25"/>
    <w:bookmarkStart w:id="26" w:name="X803c5edad12cb23122687a9957c8bbd4c0f05ff"/>
    <w:p>
      <w:pPr>
        <w:pStyle w:val="Heading2"/>
      </w:pPr>
      <w:r>
        <w:t xml:space="preserve">Conclusion: The Future of Videography in Kuwait City</w:t>
      </w:r>
    </w:p>
    <w:p>
      <w:pPr>
        <w:pStyle w:val="FirstParagraph"/>
      </w:pPr>
      <w:r>
        <w:t xml:space="preserve">This Q3</w:t>
      </w:r>
      <w:r>
        <w:t xml:space="preserve"> </w:t>
      </w:r>
      <w:r>
        <w:rPr>
          <w:bCs/>
          <w:b/>
        </w:rPr>
        <w:t xml:space="preserve">Sales Report</w:t>
      </w:r>
      <w:r>
        <w:t xml:space="preserve"> </w:t>
      </w:r>
      <w:r>
        <w:t xml:space="preserve">unequivocally demonstrates that our specialized focus on</w:t>
      </w:r>
      <w:r>
        <w:t xml:space="preserve"> </w:t>
      </w:r>
      <w:r>
        <w:rPr>
          <w:bCs/>
          <w:b/>
        </w:rPr>
        <w:t xml:space="preserve">Kuwait City</w:t>
      </w:r>
      <w:r>
        <w:t xml:space="preserve"> </w:t>
      </w:r>
      <w:r>
        <w:t xml:space="preserve">has created a significant competitive advantage. The demand for culturally intelligent videography services continues to outpace supply within Kuwait's capital, with the market projected to grow 22% annually through 2025. Our</w:t>
      </w:r>
      <w:r>
        <w:t xml:space="preserve"> </w:t>
      </w:r>
      <w:r>
        <w:rPr>
          <w:bCs/>
          <w:b/>
        </w:rPr>
        <w:t xml:space="preserve">Videographer</w:t>
      </w:r>
      <w:r>
        <w:t xml:space="preserve"> </w:t>
      </w:r>
      <w:r>
        <w:t xml:space="preserve">team has evolved from technical service providers to strategic brand partners – a transformation directly attributable to our hyper-localized operations within</w:t>
      </w:r>
      <w:r>
        <w:t xml:space="preserve"> </w:t>
      </w:r>
      <w:r>
        <w:rPr>
          <w:bCs/>
          <w:b/>
        </w:rPr>
        <w:t xml:space="preserve">Kuwait City</w:t>
      </w:r>
      <w:r>
        <w:t xml:space="preserve">.</w:t>
      </w:r>
    </w:p>
    <w:p>
      <w:pPr>
        <w:pStyle w:val="BodyText"/>
      </w:pPr>
      <w:r>
        <w:t xml:space="preserve">As we move into Q4, we will intensify our commitment to Kuwait City's media ecosystem through partnerships with the Kuwait Film Society and participation in the 2023 Gulf Media Summit (Kuwait City). The data is clear: In a market where cultural authenticity is paramount, our ability to deliver premium videography within</w:t>
      </w:r>
      <w:r>
        <w:t xml:space="preserve"> </w:t>
      </w:r>
      <w:r>
        <w:rPr>
          <w:bCs/>
          <w:b/>
        </w:rPr>
        <w:t xml:space="preserve">Kuwait City</w:t>
      </w:r>
      <w:r>
        <w:t xml:space="preserve"> </w:t>
      </w:r>
      <w:r>
        <w:t xml:space="preserve">– respecting local traditions while delivering world-class visuals – has cemented our position as the region's most trusted</w:t>
      </w:r>
      <w:r>
        <w:t xml:space="preserve"> </w:t>
      </w:r>
      <w:r>
        <w:rPr>
          <w:bCs/>
          <w:b/>
        </w:rPr>
        <w:t xml:space="preserve">Videographer</w:t>
      </w:r>
      <w:r>
        <w:t xml:space="preserve"> </w:t>
      </w:r>
      <w:r>
        <w:t xml:space="preserve">partner.</w:t>
      </w:r>
    </w:p>
    <w:p>
      <w:pPr>
        <w:pStyle w:val="BodyText"/>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iCs/>
          <w:i/>
        </w:rPr>
        <w:t xml:space="preserve">This Sales Report details all services delivered within Kuwait City boundaries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Videography Services in Kuwait City</dc:title>
  <dc:creator/>
  <cp:keywords/>
  <dcterms:created xsi:type="dcterms:W3CDTF">2026-07-23T18:16:12Z</dcterms:created>
  <dcterms:modified xsi:type="dcterms:W3CDTF">2026-07-23T18:16:12Z</dcterms:modified>
</cp:coreProperties>
</file>

<file path=docProps/custom.xml><?xml version="1.0" encoding="utf-8"?>
<Properties xmlns="http://schemas.openxmlformats.org/officeDocument/2006/custom-properties" xmlns:vt="http://schemas.openxmlformats.org/officeDocument/2006/docPropsVTypes"/>
</file>