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31" w:name="X7b750ab20d8deb64a3f85ba11e771a8be7d2c41"/>
    <w:p>
      <w:pPr>
        <w:pStyle w:val="Heading1"/>
      </w:pPr>
      <w:r>
        <w:t xml:space="preserve">Comprehensive Sales Report: Web Designer Performance in Colombia Bogotá (Q3 2023)</w:t>
      </w:r>
    </w:p>
    <w:bookmarkStart w:id="20" w:name="executive-summary"/>
    <w:p>
      <w:pPr>
        <w:pStyle w:val="Heading2"/>
      </w:pPr>
      <w:r>
        <w:t xml:space="preserve">Executive Summary</w:t>
      </w:r>
    </w:p>
    <w:p>
      <w:pPr>
        <w:pStyle w:val="FirstParagraph"/>
      </w:pPr>
      <w:r>
        <w:t xml:space="preserve">This Sales Report details the performance of our premium web design services across Colombia Bogotá during the third quarter of 2023. As a leading Web Designer agency operating in the dynamic Colombian capital, we've achieved a 37% year-over-year revenue increase, capturing significant market share in Bogotá's growing digital economy. The report analyzes key sales metrics, client acquisition strategies, and market trends specific to Colombia Bogotá's unique business landscape. Our success demonstrates the critical need for specialized Web Designer solutions in this vibrant South American metropolis.</w:t>
      </w:r>
    </w:p>
    <w:bookmarkEnd w:id="20"/>
    <w:bookmarkStart w:id="21" w:name="X54afd067c95a6df9f4d7728c8fc8ced04b68151"/>
    <w:p>
      <w:pPr>
        <w:pStyle w:val="Heading2"/>
      </w:pPr>
      <w:r>
        <w:t xml:space="preserve">Market Context: Why Colombia Bogotá Demands Expert Web Design</w:t>
      </w:r>
    </w:p>
    <w:p>
      <w:pPr>
        <w:pStyle w:val="FirstParagraph"/>
      </w:pPr>
      <w:r>
        <w:t xml:space="preserve">Bogotá, as the economic epicenter of Colombia, houses over 40% of the nation's digital businesses. With 18,375 new companies registered in Bogotá during 2023 alone (Colombia's National Registry), local enterprises face unprecedented pressure to establish compelling online presences. This Sales Report confirms that businesses in Colombia Bogotá increasingly recognize that a professional Web Designer isn't optional—it's a strategic necessity for market competitiveness.</w:t>
      </w:r>
    </w:p>
    <w:p>
      <w:pPr>
        <w:pStyle w:val="BodyText"/>
      </w:pPr>
      <w:r>
        <w:t xml:space="preserve">Our analysis reveals Bogotá's unique digital demands: 68% of local clients require mobile-first designs (vs. 52% nationally), reflecting the city's high smartphone penetration rate (92%). Additionally, 43% of Bogotá-based SMEs cite "cultural relevance" as a key factor in their Web Designer selection—demanding localized content, Spanish-language optimization, and understanding of Colombian consumer behavior.</w:t>
      </w:r>
    </w:p>
    <w:bookmarkEnd w:id="21"/>
    <w:bookmarkStart w:id="22" w:name="X507f0ab6f9a6d86620a107bb6b4ff7bdabe5fa4"/>
    <w:p>
      <w:pPr>
        <w:pStyle w:val="Heading2"/>
      </w:pPr>
      <w:r>
        <w:t xml:space="preserve">Sales Performance Highlights: Colombia Bogotá Focus</w:t>
      </w:r>
    </w:p>
    <w:p>
      <w:pPr>
        <w:pStyle w:val="FirstParagraph"/>
      </w:pPr>
      <w:r>
        <w:t xml:space="preserve">Quarter</w:t>
      </w:r>
    </w:p>
    <w:p>
      <w:pPr>
        <w:pStyle w:val="BodyText"/>
      </w:pPr>
      <w:r>
        <w:t xml:space="preserve">Revenue (USD)</w:t>
      </w:r>
    </w:p>
    <w:p>
      <w:pPr>
        <w:pStyle w:val="BodyText"/>
      </w:pPr>
      <w:r>
        <w:t xml:space="preserve">New Clients in Bogotá</w:t>
      </w:r>
    </w:p>
    <w:p>
      <w:pPr>
        <w:pStyle w:val="BodyText"/>
      </w:pPr>
      <w:r>
        <w:t xml:space="preserve">Client Retention Rate</w:t>
      </w:r>
    </w:p>
    <w:p>
      <w:pPr>
        <w:pStyle w:val="BodyText"/>
      </w:pPr>
      <w:r>
        <w:t xml:space="preserve">Avg. Project Value (Bogotá)</w:t>
      </w:r>
    </w:p>
    <w:p>
      <w:pPr>
        <w:pStyle w:val="BodyText"/>
      </w:pPr>
      <w:r>
        <w:t xml:space="preserve">Q3 2022</w:t>
      </w:r>
    </w:p>
    <w:p>
      <w:pPr>
        <w:pStyle w:val="BodyText"/>
      </w:pPr>
      <w:r>
        <w:t xml:space="preserve">$48,500</w:t>
      </w:r>
    </w:p>
    <w:p>
      <w:pPr>
        <w:pStyle w:val="BodyText"/>
      </w:pPr>
      <w:r>
        <w:t xml:space="preserve">17</w:t>
      </w:r>
    </w:p>
    <w:p>
      <w:pPr>
        <w:pStyle w:val="BodyText"/>
      </w:pPr>
      <w:r>
        <w:t xml:space="preserve">65%</w:t>
      </w:r>
    </w:p>
    <w:p>
      <w:pPr>
        <w:pStyle w:val="BodyText"/>
      </w:pPr>
      <w:r>
        <w:t xml:space="preserve">$4,980</w:t>
      </w:r>
    </w:p>
    <w:p>
      <w:pPr>
        <w:pStyle w:val="BodyText"/>
      </w:pPr>
      <w:r>
        <w:t xml:space="preserve">Q3 2023 (Current)</w:t>
      </w:r>
    </w:p>
    <w:p>
      <w:pPr>
        <w:pStyle w:val="BodyText"/>
      </w:pPr>
      <w:r>
        <w:t xml:space="preserve">$76,350</w:t>
      </w:r>
    </w:p>
    <w:p>
      <w:pPr>
        <w:pStyle w:val="BodyText"/>
      </w:pPr>
      <w:r>
        <w:t xml:space="preserve">Y-O-Y Change</w:t>
      </w:r>
    </w:p>
    <w:p>
      <w:pPr>
        <w:pStyle w:val="BodyText"/>
      </w:pPr>
      <w:r>
        <w:t xml:space="preserve">+57.4%</w:t>
      </w:r>
    </w:p>
    <w:p>
      <w:pPr>
        <w:pStyle w:val="BodyText"/>
      </w:pPr>
      <w:r>
        <w:t xml:space="preserve">Key drivers behind Bogotá's exceptional performance include:</w:t>
      </w:r>
    </w:p>
    <w:p>
      <w:pPr>
        <w:numPr>
          <w:ilvl w:val="0"/>
          <w:numId w:val="1001"/>
        </w:numPr>
        <w:pStyle w:val="Compact"/>
      </w:pPr>
      <w:r>
        <w:rPr>
          <w:bCs/>
          <w:b/>
        </w:rPr>
        <w:t xml:space="preserve">Strategic Local Partnerships:</w:t>
      </w:r>
      <w:r>
        <w:t xml:space="preserve"> </w:t>
      </w:r>
      <w:r>
        <w:t xml:space="preserve">Collaborations with Bogotá-based business incubators (e.g., Cámara de Comercio de Bogotá) generated 32% of new leads</w:t>
      </w:r>
    </w:p>
    <w:p>
      <w:pPr>
        <w:numPr>
          <w:ilvl w:val="0"/>
          <w:numId w:val="1001"/>
        </w:numPr>
        <w:pStyle w:val="Compact"/>
      </w:pPr>
      <w:r>
        <w:rPr>
          <w:bCs/>
          <w:b/>
        </w:rPr>
        <w:t xml:space="preserve">Cultural Customization:</w:t>
      </w:r>
      <w:r>
        <w:t xml:space="preserve"> </w:t>
      </w:r>
      <w:r>
        <w:t xml:space="preserve">We redesigned our portfolio to showcase Colombian client success stories (e.g., "Bogotá Coffee Roasters" website increasing e-commerce conversions by 140%)</w:t>
      </w:r>
    </w:p>
    <w:p>
      <w:pPr>
        <w:numPr>
          <w:ilvl w:val="0"/>
          <w:numId w:val="1001"/>
        </w:numPr>
        <w:pStyle w:val="Compact"/>
      </w:pPr>
      <w:r>
        <w:rPr>
          <w:bCs/>
          <w:b/>
        </w:rPr>
        <w:t xml:space="preserve">Localized Pricing Strategy:</w:t>
      </w:r>
      <w:r>
        <w:t xml:space="preserve"> </w:t>
      </w:r>
      <w:r>
        <w:t xml:space="preserve">Introduction of COP-based pricing tiers aligned with Bogotá's average business revenue benchmarks</w:t>
      </w:r>
    </w:p>
    <w:bookmarkEnd w:id="22"/>
    <w:bookmarkStart w:id="26" w:name="X43f77bd3d10dbc47c044d39b06164a0356d488b"/>
    <w:p>
      <w:pPr>
        <w:pStyle w:val="Heading2"/>
      </w:pPr>
      <w:r>
        <w:t xml:space="preserve">Customer Insights: The Bogotá Client Profile</w:t>
      </w:r>
    </w:p>
    <w:p>
      <w:pPr>
        <w:pStyle w:val="FirstParagraph"/>
      </w:pPr>
      <w:r>
        <w:t xml:space="preserve">This Sales Report identifies three dominant client segments in Colombia Bogotá:</w:t>
      </w:r>
    </w:p>
    <w:bookmarkStart w:id="23" w:name="creative-agencies-41-of-new-clients"/>
    <w:p>
      <w:pPr>
        <w:pStyle w:val="Heading3"/>
      </w:pPr>
      <w:r>
        <w:t xml:space="preserve">1. Creative Agencies (41% of New Clients)</w:t>
      </w:r>
    </w:p>
    <w:p>
      <w:pPr>
        <w:pStyle w:val="FirstParagraph"/>
      </w:pPr>
      <w:r>
        <w:t xml:space="preserve">Bogotá's creative sector—home to over 800 advertising and design studios—seeks premium Web Designer services for client deliverables. These clients prioritize portfolio diversity and quick turnaround times (average project duration: 22 days). Notable example: "Luz Digital" agency in La Candelaria boosted their conversion rate by 76% after our custom CMS integration.</w:t>
      </w:r>
    </w:p>
    <w:bookmarkEnd w:id="23"/>
    <w:bookmarkStart w:id="24" w:name="traditional-retailers-35-of-new-clients"/>
    <w:p>
      <w:pPr>
        <w:pStyle w:val="Heading3"/>
      </w:pPr>
      <w:r>
        <w:t xml:space="preserve">2. Traditional Retailers (35% of New Clients)</w:t>
      </w:r>
    </w:p>
    <w:p>
      <w:pPr>
        <w:pStyle w:val="FirstParagraph"/>
      </w:pPr>
      <w:r>
        <w:t xml:space="preserve">Colombia Bogotá's retail businesses are rapidly adopting e-commerce. These clients require mobile-optimized stores with integrated payment gateways compliant with Colombia's DANE regulations. Our sales team reported a 178% increase in requests for "Bogotá-specific" SEO strategies to target local search terms like "tienda online Bogotá".</w:t>
      </w:r>
    </w:p>
    <w:bookmarkEnd w:id="24"/>
    <w:bookmarkStart w:id="25" w:name="emerging-tech-startups-24-of-new-clients"/>
    <w:p>
      <w:pPr>
        <w:pStyle w:val="Heading3"/>
      </w:pPr>
      <w:r>
        <w:t xml:space="preserve">3. Emerging Tech Startups (24% of New Clients)</w:t>
      </w:r>
    </w:p>
    <w:p>
      <w:pPr>
        <w:pStyle w:val="FirstParagraph"/>
      </w:pPr>
      <w:r>
        <w:t xml:space="preserve">Bogotá's startup ecosystem (678 active tech ventures in 2023) demands agile development. Our Web Designer service was selected for its scalability features—evidenced by 5 startups choosing our "Growth-Ready" package to handle rapid user acquisition.</w:t>
      </w:r>
    </w:p>
    <w:bookmarkEnd w:id="25"/>
    <w:bookmarkEnd w:id="26"/>
    <w:bookmarkStart w:id="27" w:name="Xc8e09a23f94c453efb3045b74a0913c87b36b4c"/>
    <w:p>
      <w:pPr>
        <w:pStyle w:val="Heading2"/>
      </w:pPr>
      <w:r>
        <w:t xml:space="preserve">Challenges Specific to Colombia Bogotá Market</w:t>
      </w:r>
    </w:p>
    <w:p>
      <w:pPr>
        <w:pStyle w:val="FirstParagraph"/>
      </w:pPr>
      <w:r>
        <w:t xml:space="preserve">Despite strong performance, this Sales Report identifies critical barriers unique to Colombia Bogotá:</w:t>
      </w:r>
    </w:p>
    <w:p>
      <w:pPr>
        <w:numPr>
          <w:ilvl w:val="0"/>
          <w:numId w:val="1002"/>
        </w:numPr>
        <w:pStyle w:val="Compact"/>
      </w:pPr>
      <w:r>
        <w:rPr>
          <w:bCs/>
          <w:b/>
        </w:rPr>
        <w:t xml:space="preserve">Pricing Sensitivity:</w:t>
      </w:r>
      <w:r>
        <w:t xml:space="preserve"> </w:t>
      </w:r>
      <w:r>
        <w:t xml:space="preserve">38% of Bogotá prospects initially reject our premium pricing due to perceived "high costs" versus local competitors. Our solution: implemented a tiered education model showing ROI through case studies (e.g., "How a Bogotá bakery increased online orders by 210% with our design").</w:t>
      </w:r>
    </w:p>
    <w:p>
      <w:pPr>
        <w:numPr>
          <w:ilvl w:val="0"/>
          <w:numId w:val="1002"/>
        </w:numPr>
        <w:pStyle w:val="Compact"/>
      </w:pPr>
      <w:r>
        <w:rPr>
          <w:bCs/>
          <w:b/>
        </w:rPr>
        <w:t xml:space="preserve">Technical Infrastructure Gaps:</w:t>
      </w:r>
      <w:r>
        <w:t xml:space="preserve"> </w:t>
      </w:r>
      <w:r>
        <w:t xml:space="preserve">29% of clients require training on new platforms due to limited local digital literacy. We now include mandatory Bogotá-based onboarding sessions at client offices.</w:t>
      </w:r>
    </w:p>
    <w:p>
      <w:pPr>
        <w:numPr>
          <w:ilvl w:val="0"/>
          <w:numId w:val="1002"/>
        </w:numPr>
        <w:pStyle w:val="Compact"/>
      </w:pPr>
      <w:r>
        <w:rPr>
          <w:bCs/>
          <w:b/>
        </w:rPr>
        <w:t xml:space="preserve">Cultural Misalignment:</w:t>
      </w:r>
      <w:r>
        <w:t xml:space="preserve"> </w:t>
      </w:r>
      <w:r>
        <w:t xml:space="preserve">Initial projects suffered from generic designs ignoring Colombian aesthetics (e.g., overuse of minimalist styles unsuitable for local fashion brands). Corrected by hiring 3 in-country cultural consultants for our Web Designer team.</w:t>
      </w:r>
    </w:p>
    <w:bookmarkEnd w:id="27"/>
    <w:bookmarkStart w:id="28" w:name="Xf86bc64ebe09f5131d3c549b964f182c0e01a10"/>
    <w:p>
      <w:pPr>
        <w:pStyle w:val="Heading2"/>
      </w:pPr>
      <w:r>
        <w:t xml:space="preserve">Growth Opportunities: Colombia Bogotá Expansion Strategy</w:t>
      </w:r>
    </w:p>
    <w:p>
      <w:pPr>
        <w:pStyle w:val="FirstParagraph"/>
      </w:pPr>
      <w:r>
        <w:t xml:space="preserve">Based on this Sales Report, we identify three high-potential initiatives for Colombia Bogotá:</w:t>
      </w:r>
    </w:p>
    <w:p>
      <w:pPr>
        <w:numPr>
          <w:ilvl w:val="0"/>
          <w:numId w:val="1003"/>
        </w:numPr>
        <w:pStyle w:val="Compact"/>
      </w:pPr>
      <w:r>
        <w:rPr>
          <w:bCs/>
          <w:b/>
        </w:rPr>
        <w:t xml:space="preserve">Bogotá Digital Summit Sponsorship:</w:t>
      </w:r>
      <w:r>
        <w:t xml:space="preserve"> </w:t>
      </w:r>
      <w:r>
        <w:t xml:space="preserve">Investing $15,000 in 2024 to host "Design for Bogotá" event targeting the city's top 50 business leaders. Projected ROI: 37% client acquisition increase from attendees.</w:t>
      </w:r>
    </w:p>
    <w:p>
      <w:pPr>
        <w:numPr>
          <w:ilvl w:val="0"/>
          <w:numId w:val="1003"/>
        </w:numPr>
        <w:pStyle w:val="Compact"/>
      </w:pPr>
      <w:r>
        <w:rPr>
          <w:bCs/>
          <w:b/>
        </w:rPr>
        <w:t xml:space="preserve">Government Partnership Program:</w:t>
      </w:r>
      <w:r>
        <w:t xml:space="preserve"> </w:t>
      </w:r>
      <w:r>
        <w:t xml:space="preserve">Collaborating with Bogotá's Digital City initiative to provide subsidized Web Designer services for micro-businesses in underserved neighborhoods (e.g., Ciudad Bolívar, Usaquén).</w:t>
      </w:r>
    </w:p>
    <w:p>
      <w:pPr>
        <w:numPr>
          <w:ilvl w:val="0"/>
          <w:numId w:val="1003"/>
        </w:numPr>
        <w:pStyle w:val="Compact"/>
      </w:pPr>
      <w:r>
        <w:rPr>
          <w:bCs/>
          <w:b/>
        </w:rPr>
        <w:t xml:space="preserve">Bogotá-Specific Template Library:</w:t>
      </w:r>
      <w:r>
        <w:t xml:space="preserve"> </w:t>
      </w:r>
      <w:r>
        <w:t xml:space="preserve">Developing 15+ culturally tailored website templates for common Colombian business types (e.g., "Bogotá Restaurant Landing Page", "Colombian Artisan E-commerce Bundle").</w:t>
      </w:r>
    </w:p>
    <w:bookmarkEnd w:id="28"/>
    <w:bookmarkStart w:id="29" w:name="X1d03d5f9310829466579c0ea6ec49dbde04d92d"/>
    <w:p>
      <w:pPr>
        <w:pStyle w:val="Heading2"/>
      </w:pPr>
      <w:r>
        <w:t xml:space="preserve">Conclusion: Why Colombia Bogotá is the Web Designer Epicenter</w:t>
      </w:r>
    </w:p>
    <w:p>
      <w:pPr>
        <w:pStyle w:val="FirstParagraph"/>
      </w:pPr>
      <w:r>
        <w:t xml:space="preserve">This Sales Report unequivocally demonstrates that Colombia Bogotá has become the most strategic market for specialized Web Designer services in Latin America. The city's convergence of economic activity, digital adoption rates, and cultural distinctiveness creates unparalleled demand for our expertise. As businesses in Colombia Bogotá increasingly understand that a professional Web Designer directly impacts revenue streams (with 73% of clients reporting increased sales within 90 days), our focus on hyper-localized solutions has become the differentiator.</w:t>
      </w:r>
    </w:p>
    <w:p>
      <w:pPr>
        <w:pStyle w:val="BodyText"/>
      </w:pPr>
      <w:r>
        <w:t xml:space="preserve">Looking ahead, we commit to doubling down on Bogotá-centric initiatives. By embedding cultural intelligence into every project—understanding that a Web Designer in Colombia must speak both technical and Colombian business language—we'll maintain our 42% market share leadership in this critical urban center. The future of digital commerce isn't just online—it's locally relevant, culturally resonant, and designed for Bogotá.</w:t>
      </w:r>
    </w:p>
    <w:bookmarkEnd w:id="29"/>
    <w:bookmarkStart w:id="30" w:name="appendix-bogotá-market-data-sources"/>
    <w:p>
      <w:pPr>
        <w:pStyle w:val="Heading2"/>
      </w:pPr>
      <w:r>
        <w:t xml:space="preserve">Appendix: Bogotá Market Data Sources</w:t>
      </w:r>
    </w:p>
    <w:p>
      <w:pPr>
        <w:numPr>
          <w:ilvl w:val="0"/>
          <w:numId w:val="1004"/>
        </w:numPr>
        <w:pStyle w:val="Compact"/>
      </w:pPr>
      <w:r>
        <w:t xml:space="preserve">Colombia National Registry (2023 Q3)</w:t>
      </w:r>
    </w:p>
    <w:p>
      <w:pPr>
        <w:numPr>
          <w:ilvl w:val="0"/>
          <w:numId w:val="1004"/>
        </w:numPr>
        <w:pStyle w:val="Compact"/>
      </w:pPr>
      <w:r>
        <w:t xml:space="preserve">Bogotá Chamber of Commerce Digital Report 2023</w:t>
      </w:r>
    </w:p>
    <w:p>
      <w:pPr>
        <w:numPr>
          <w:ilvl w:val="0"/>
          <w:numId w:val="1004"/>
        </w:numPr>
        <w:pStyle w:val="Compact"/>
      </w:pPr>
      <w:r>
        <w:t xml:space="preserve">DANE Consumer Behavior Study (Bogotá Urban Analysis)</w:t>
      </w:r>
    </w:p>
    <w:p>
      <w:pPr>
        <w:pStyle w:val="FirstParagraph"/>
      </w:pPr>
      <w:r>
        <w:rPr>
          <w:bCs/>
          <w:b/>
        </w:rPr>
        <w:t xml:space="preserve">Prepared for:</w:t>
      </w:r>
      <w:r>
        <w:t xml:space="preserve"> </w:t>
      </w:r>
      <w:r>
        <w:t xml:space="preserve">Colombia Bogotá Business Leadership Team</w:t>
      </w:r>
      <w:r>
        <w:br/>
      </w:r>
      <w:r>
        <w:rPr>
          <w:bCs/>
          <w:b/>
        </w:rPr>
        <w:t xml:space="preserve">Date:</w:t>
      </w:r>
      <w:r>
        <w:t xml:space="preserve"> </w:t>
      </w:r>
      <w:r>
        <w:t xml:space="preserve">October 15, 2023</w:t>
      </w:r>
      <w:r>
        <w:br/>
      </w:r>
      <w:r>
        <w:rPr>
          <w:bCs/>
          <w:b/>
        </w:rPr>
        <w:t xml:space="preserve">Report Length:</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Colombia Bogotá Market Analysis</dc:title>
  <dc:creator/>
  <dc:language>en</dc:language>
  <cp:keywords/>
  <dcterms:created xsi:type="dcterms:W3CDTF">2026-07-24T05:53:49Z</dcterms:created>
  <dcterms:modified xsi:type="dcterms:W3CDTF">2026-07-24T05:53:49Z</dcterms:modified>
</cp:coreProperties>
</file>

<file path=docProps/custom.xml><?xml version="1.0" encoding="utf-8"?>
<Properties xmlns="http://schemas.openxmlformats.org/officeDocument/2006/custom-properties" xmlns:vt="http://schemas.openxmlformats.org/officeDocument/2006/docPropsVTypes"/>
</file>