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Germany</w:t>
      </w:r>
      <w:r>
        <w:t xml:space="preserve"> </w:t>
      </w:r>
      <w:r>
        <w:t xml:space="preserve">Berlin</w:t>
      </w:r>
      <w:r>
        <w:t xml:space="preserve"> </w:t>
      </w:r>
      <w:r>
        <w:t xml:space="preserve">Market</w:t>
      </w:r>
    </w:p>
    <w:bookmarkStart w:id="28" w:name="X9ca1aa780c1fc00ff287e0ed087462817ec4f27"/>
    <w:p>
      <w:pPr>
        <w:pStyle w:val="Heading1"/>
      </w:pPr>
      <w:r>
        <w:t xml:space="preserve">2024 Q3 Sales Report: Strategic Performance Analysis of Web Designer Services in Germany Berlin</w:t>
      </w:r>
    </w:p>
    <w:bookmarkStart w:id="20" w:name="executive-summary"/>
    <w:p>
      <w:pPr>
        <w:pStyle w:val="Heading2"/>
      </w:pPr>
      <w:r>
        <w:t xml:space="preserve">Executive Summary</w:t>
      </w:r>
    </w:p>
    <w:p>
      <w:pPr>
        <w:pStyle w:val="FirstParagraph"/>
      </w:pPr>
      <w:r>
        <w:t xml:space="preserve">This report details the performance of our premium web design services within the dynamic digital ecosystem of Germany Berlin. As a leading provider of bespoke web solutions, we have achieved remarkable growth in Q3 2024, securing 32 new clients across Berlin’s diverse business landscape. Our strategic focus on German-market-specific requirements—particularly GDPR compliance, multilingual functionality, and culturally resonant design—has positioned us as the preferred Web Designer partner for startups to established enterprises in Berlin. This Sales Report underscores a 28% year-over-year revenue increase, driven by our deep integration into Berlin’s innovation corridors from Mitte to Friedrichshain-Kreuzberg.</w:t>
      </w:r>
    </w:p>
    <w:bookmarkEnd w:id="20"/>
    <w:bookmarkStart w:id="21" w:name="X16c7c42d1648945de4706b736107588b75da9b1"/>
    <w:p>
      <w:pPr>
        <w:pStyle w:val="Heading2"/>
      </w:pPr>
      <w:r>
        <w:t xml:space="preserve">Market Context: Why Germany Berlin Matters</w:t>
      </w:r>
    </w:p>
    <w:p>
      <w:pPr>
        <w:pStyle w:val="FirstParagraph"/>
      </w:pPr>
      <w:r>
        <w:t xml:space="preserve">Germany’s digital economy grew by 4.7% in 2023 (Statista), with Berlin emerging as Europe's fourth-largest tech hub. Our Sales Report analysis confirms that Berlin businesses prioritize web design as a core growth driver, with 68% of local SMEs investing in digital transformation initiatives. The city’s unique blend of creative agencies, international startups, and traditional industries creates an ideal market for specialized Web Designer services. Crucially, Berlin’s GDPR-first compliance culture means our German-language service delivery is not merely advantageous but essential—accounting for 72% of all client acquisition in Q3.</w:t>
      </w:r>
    </w:p>
    <w:bookmarkEnd w:id="21"/>
    <w:bookmarkStart w:id="22" w:name="q3-sales-performance-key-metrics"/>
    <w:p>
      <w:pPr>
        <w:pStyle w:val="Heading2"/>
      </w:pPr>
      <w:r>
        <w:t xml:space="preserve">Q3 Sales Performance: Key Metrics</w:t>
      </w:r>
    </w:p>
    <w:p>
      <w:pPr>
        <w:numPr>
          <w:ilvl w:val="0"/>
          <w:numId w:val="1001"/>
        </w:numPr>
        <w:pStyle w:val="Compact"/>
      </w:pPr>
      <w:r>
        <w:rPr>
          <w:bCs/>
          <w:b/>
        </w:rPr>
        <w:t xml:space="preserve">New Client Acquisition:</w:t>
      </w:r>
      <w:r>
        <w:t xml:space="preserve"> </w:t>
      </w:r>
      <w:r>
        <w:t xml:space="preserve">32 clients (18% above Q2), with 47% from Berlin-based startups and 53% from established Berlin companies</w:t>
      </w:r>
    </w:p>
    <w:p>
      <w:pPr>
        <w:numPr>
          <w:ilvl w:val="0"/>
          <w:numId w:val="1001"/>
        </w:numPr>
        <w:pStyle w:val="Compact"/>
      </w:pPr>
      <w:r>
        <w:rPr>
          <w:bCs/>
          <w:b/>
        </w:rPr>
        <w:t xml:space="preserve">Average Project Value:</w:t>
      </w:r>
      <w:r>
        <w:t xml:space="preserve"> </w:t>
      </w:r>
      <w:r>
        <w:t xml:space="preserve">€5,800 (up 14% YoY), reflecting premium service positioning in Germany's competitive market</w:t>
      </w:r>
    </w:p>
    <w:p>
      <w:pPr>
        <w:numPr>
          <w:ilvl w:val="0"/>
          <w:numId w:val="1001"/>
        </w:numPr>
        <w:pStyle w:val="Compact"/>
      </w:pPr>
      <w:r>
        <w:t xml:space="preserve">89% (vs. Berlin industry average of 76%), demonstrating superior service quality</w:t>
      </w:r>
    </w:p>
    <w:p>
      <w:pPr>
        <w:numPr>
          <w:ilvl w:val="0"/>
          <w:numId w:val="1001"/>
        </w:numPr>
        <w:pStyle w:val="Compact"/>
      </w:pPr>
      <w:r>
        <w:t xml:space="preserve">83% of projects served within Berlin city limits, including key districts like Kreuzberg, Neukölln, and Prenzlauer Berg</w:t>
      </w:r>
    </w:p>
    <w:bookmarkEnd w:id="22"/>
    <w:bookmarkStart w:id="23" w:name="Xab3be30380721da6568033366601cdbf4f9478f"/>
    <w:p>
      <w:pPr>
        <w:pStyle w:val="Heading2"/>
      </w:pPr>
      <w:r>
        <w:t xml:space="preserve">Strategic Client Acquisition in Berlin's Digital Landscape</w:t>
      </w:r>
    </w:p>
    <w:p>
      <w:pPr>
        <w:pStyle w:val="FirstParagraph"/>
      </w:pPr>
      <w:r>
        <w:t xml:space="preserve">Our success stems from hyper-localized sales tactics tailored to Germany Berlin. We leveraged Berlin-specific networking channels including:</w:t>
      </w:r>
    </w:p>
    <w:p>
      <w:pPr>
        <w:numPr>
          <w:ilvl w:val="0"/>
          <w:numId w:val="1002"/>
        </w:numPr>
        <w:pStyle w:val="Compact"/>
      </w:pPr>
      <w:r>
        <w:rPr>
          <w:iCs/>
          <w:i/>
        </w:rPr>
        <w:t xml:space="preserve">Startup Ecosystem Partnerships:</w:t>
      </w:r>
      <w:r>
        <w:t xml:space="preserve"> </w:t>
      </w:r>
      <w:r>
        <w:t xml:space="preserve">Collaborations with accelerators like Rocket Internet (Berlin campus) and Berlin Partner for Business &amp; Innovation</w:t>
      </w:r>
    </w:p>
    <w:p>
      <w:pPr>
        <w:numPr>
          <w:ilvl w:val="0"/>
          <w:numId w:val="1002"/>
        </w:numPr>
        <w:pStyle w:val="Compact"/>
      </w:pPr>
      <w:r>
        <w:rPr>
          <w:iCs/>
          <w:i/>
        </w:rPr>
        <w:t xml:space="preserve">Cultural Alignment:</w:t>
      </w:r>
      <w:r>
        <w:t xml:space="preserve"> </w:t>
      </w:r>
      <w:r>
        <w:t xml:space="preserve">Hosting "Digital Presence Workshops" at FabLab Berlin and co-working spaces in Friedrichshain, addressing German business communication preferences</w:t>
      </w:r>
    </w:p>
    <w:p>
      <w:pPr>
        <w:numPr>
          <w:ilvl w:val="0"/>
          <w:numId w:val="1002"/>
        </w:numPr>
        <w:pStyle w:val="Compact"/>
      </w:pPr>
      <w:r>
        <w:rPr>
          <w:iCs/>
          <w:i/>
        </w:rPr>
        <w:t xml:space="preserve">GDPR Integration:</w:t>
      </w:r>
      <w:r>
        <w:t xml:space="preserve"> </w:t>
      </w:r>
      <w:r>
        <w:t xml:space="preserve">Explicitly showcasing GDPR-compliant design frameworks (e.g., cookie consent solutions for German users) in all sales materials</w:t>
      </w:r>
    </w:p>
    <w:p>
      <w:pPr>
        <w:pStyle w:val="FirstParagraph"/>
      </w:pPr>
      <w:r>
        <w:t xml:space="preserve">This approach directly addressed Berlin clients’ unspoken need for Web Designer services that understand German regulatory nuances. A Q3 client survey confirmed 91% of Berlin customers chose us specifically because our team spoke fluent German and navigated local compliance requirements—factors absent in international competitors.</w:t>
      </w:r>
    </w:p>
    <w:bookmarkEnd w:id="23"/>
    <w:bookmarkStart w:id="24" w:name="X731402449da10ea3a67acf6bdee20a67348d2ed"/>
    <w:p>
      <w:pPr>
        <w:pStyle w:val="Heading2"/>
      </w:pPr>
      <w:r>
        <w:t xml:space="preserve">Competitive Positioning: Standing Out as a Berlin-Based Web Designer</w:t>
      </w:r>
    </w:p>
    <w:p>
      <w:pPr>
        <w:pStyle w:val="FirstParagraph"/>
      </w:pPr>
      <w:r>
        <w:t xml:space="preserve">Germany Berlin’s web design market features three distinct segments: global agencies (e.g., Wunderman Thompson), freelance platforms (Upwork), and local specialists. Our Sales Report identifies our competitive edge as:</w:t>
      </w:r>
    </w:p>
    <w:p>
      <w:pPr>
        <w:numPr>
          <w:ilvl w:val="0"/>
          <w:numId w:val="1003"/>
        </w:numPr>
        <w:pStyle w:val="Compact"/>
      </w:pPr>
      <w:r>
        <w:rPr>
          <w:bCs/>
          <w:b/>
        </w:rPr>
        <w:t xml:space="preserve">Localized Expertise:</w:t>
      </w:r>
      <w:r>
        <w:t xml:space="preserve"> </w:t>
      </w:r>
      <w:r>
        <w:t xml:space="preserve">In-depth knowledge of Berlin's business culture—e.g., avoiding overly casual designs preferred by US firms, favoring clean German "Minimalism" aesthetics</w:t>
      </w:r>
    </w:p>
    <w:p>
      <w:pPr>
        <w:numPr>
          <w:ilvl w:val="0"/>
          <w:numId w:val="1003"/>
        </w:numPr>
        <w:pStyle w:val="Compact"/>
      </w:pPr>
      <w:r>
        <w:rPr>
          <w:bCs/>
          <w:b/>
        </w:rPr>
        <w:t xml:space="preserve">Speed-to-Market:</w:t>
      </w:r>
      <w:r>
        <w:t xml:space="preserve"> </w:t>
      </w:r>
      <w:r>
        <w:t xml:space="preserve">21-day average project delivery (vs. Berlin industry avg. 32 days), critical for time-sensitive German markets like e-commerce</w:t>
      </w:r>
    </w:p>
    <w:p>
      <w:pPr>
        <w:numPr>
          <w:ilvl w:val="0"/>
          <w:numId w:val="1003"/>
        </w:numPr>
        <w:pStyle w:val="Compact"/>
      </w:pPr>
      <w:r>
        <w:rPr>
          <w:bCs/>
          <w:b/>
        </w:rPr>
        <w:t xml:space="preserve">Pricing Transparency:</w:t>
      </w:r>
      <w:r>
        <w:t xml:space="preserve"> </w:t>
      </w:r>
      <w:r>
        <w:t xml:space="preserve">Fixed-price contracts with clear scope (uncommon in Berlin’s often-vague freelance market)</w:t>
      </w:r>
    </w:p>
    <w:bookmarkEnd w:id="24"/>
    <w:bookmarkStart w:id="25" w:name="X93213fd62a2e9b9223d5b645accd54f79e06aea"/>
    <w:p>
      <w:pPr>
        <w:pStyle w:val="Heading2"/>
      </w:pPr>
      <w:r>
        <w:t xml:space="preserve">Challenges and Opportunities in Germany Berlin</w:t>
      </w:r>
    </w:p>
    <w:p>
      <w:pPr>
        <w:pStyle w:val="FirstParagraph"/>
      </w:pPr>
      <w:r>
        <w:t xml:space="preserve">Despite strong performance, Q3 revealed key challenges specific to the Berlin market. The rise of "low-cost" international Web Designer services undercutting local pricing (particularly from Eastern Europe) pressured our €4,500+ entry-tier project margin. Our response: launching "Berlin Growth Pack"—a tailored service bundle for SMEs featuring SEO integration and German-language content strategy at 15% below competitor rates.</w:t>
      </w:r>
    </w:p>
    <w:p>
      <w:pPr>
        <w:pStyle w:val="BodyText"/>
      </w:pPr>
      <w:r>
        <w:t xml:space="preserve">Opportunities are abundant in Berlin’s emerging sectors:</w:t>
      </w:r>
    </w:p>
    <w:p>
      <w:pPr>
        <w:numPr>
          <w:ilvl w:val="0"/>
          <w:numId w:val="1004"/>
        </w:numPr>
        <w:pStyle w:val="Compact"/>
      </w:pPr>
      <w:r>
        <w:rPr>
          <w:iCs/>
          <w:i/>
        </w:rPr>
        <w:t xml:space="preserve">Sustainability Tech:</w:t>
      </w:r>
      <w:r>
        <w:t xml:space="preserve"> </w:t>
      </w:r>
      <w:r>
        <w:t xml:space="preserve">27 new green startups in Q3 requiring eco-branded websites</w:t>
      </w:r>
    </w:p>
    <w:p>
      <w:pPr>
        <w:numPr>
          <w:ilvl w:val="0"/>
          <w:numId w:val="1004"/>
        </w:numPr>
        <w:pStyle w:val="Compact"/>
      </w:pPr>
      <w:r>
        <w:rPr>
          <w:iCs/>
          <w:i/>
        </w:rPr>
        <w:t xml:space="preserve">Healthcare Digitalization:</w:t>
      </w:r>
      <w:r>
        <w:t xml:space="preserve"> </w:t>
      </w:r>
      <w:r>
        <w:t xml:space="preserve">Berlin hospitals and clinics demand HIPAA/GDPR-compliant portals</w:t>
      </w:r>
    </w:p>
    <w:p>
      <w:pPr>
        <w:numPr>
          <w:ilvl w:val="0"/>
          <w:numId w:val="1004"/>
        </w:numPr>
        <w:pStyle w:val="Compact"/>
      </w:pPr>
      <w:r>
        <w:rPr>
          <w:iCs/>
          <w:i/>
        </w:rPr>
        <w:t xml:space="preserve">Multilingual Expansion:</w:t>
      </w:r>
      <w:r>
        <w:t xml:space="preserve"> </w:t>
      </w:r>
      <w:r>
        <w:t xml:space="preserve">Berlin’s international workforce (28% foreign-born) drives demand for 3+ language sites</w:t>
      </w:r>
    </w:p>
    <w:bookmarkEnd w:id="25"/>
    <w:bookmarkStart w:id="26" w:name="strategic-recommendations-for-q4-2024"/>
    <w:p>
      <w:pPr>
        <w:pStyle w:val="Heading2"/>
      </w:pPr>
      <w:r>
        <w:t xml:space="preserve">Strategic Recommendations for Q4 2024</w:t>
      </w:r>
    </w:p>
    <w:p>
      <w:pPr>
        <w:pStyle w:val="FirstParagraph"/>
      </w:pPr>
      <w:r>
        <w:t xml:space="preserve">To capitalize on Germany Berlin's momentum, we propose:</w:t>
      </w:r>
    </w:p>
    <w:p>
      <w:pPr>
        <w:numPr>
          <w:ilvl w:val="0"/>
          <w:numId w:val="1005"/>
        </w:numPr>
        <w:pStyle w:val="Compact"/>
      </w:pPr>
      <w:r>
        <w:rPr>
          <w:bCs/>
          <w:b/>
        </w:rPr>
        <w:t xml:space="preserve">Expand "Berlin Compliance" Certification:</w:t>
      </w:r>
      <w:r>
        <w:t xml:space="preserve"> </w:t>
      </w:r>
      <w:r>
        <w:t xml:space="preserve">Partner with Berlin Chamber of Commerce to develop an official GDPR/UX accreditation for local Web Designer services</w:t>
      </w:r>
    </w:p>
    <w:p>
      <w:pPr>
        <w:numPr>
          <w:ilvl w:val="0"/>
          <w:numId w:val="1005"/>
        </w:numPr>
        <w:pStyle w:val="Compact"/>
      </w:pPr>
      <w:r>
        <w:rPr>
          <w:bCs/>
          <w:b/>
        </w:rPr>
        <w:t xml:space="preserve">Target Berlin-Specific Industries:</w:t>
      </w:r>
      <w:r>
        <w:t xml:space="preserve"> </w:t>
      </w:r>
      <w:r>
        <w:t xml:space="preserve">Develop specialized packages for Berlin’s top sectors: craft breweries (32% growth), sustainable fashion (21% YoY), and AI startups</w:t>
      </w:r>
    </w:p>
    <w:p>
      <w:pPr>
        <w:numPr>
          <w:ilvl w:val="0"/>
          <w:numId w:val="1005"/>
        </w:numPr>
        <w:pStyle w:val="Compact"/>
      </w:pPr>
      <w:r>
        <w:rPr>
          <w:bCs/>
          <w:b/>
        </w:rPr>
        <w:t xml:space="preserve">Boost Local SEO in German Language:</w:t>
      </w:r>
      <w:r>
        <w:t xml:space="preserve"> </w:t>
      </w:r>
      <w:r>
        <w:t xml:space="preserve">Optimize all marketing content for "Web Designer Berlin" and "Website Agentur Berlin" keywords to capture local search traffic</w:t>
      </w:r>
    </w:p>
    <w:bookmarkEnd w:id="26"/>
    <w:bookmarkStart w:id="27" w:name="X12161c321e99aadad5742f3ce4ae2bad818cecf"/>
    <w:p>
      <w:pPr>
        <w:pStyle w:val="Heading2"/>
      </w:pPr>
      <w:r>
        <w:t xml:space="preserve">Conclusion: Web Designer as a Growth Catalyst in Germany Berlin</w:t>
      </w:r>
    </w:p>
    <w:p>
      <w:pPr>
        <w:pStyle w:val="FirstParagraph"/>
      </w:pPr>
      <w:r>
        <w:t xml:space="preserve">This Sales Report unequivocally demonstrates that our Web Designer services are not merely transactional—they’re strategic assets for businesses navigating Germany's digital economy. Our Q3 performance (€418,000 revenue, 17% market share in Berlin’s premium web design segment) proves that location-specific expertise delivers tangible ROI. As Berlin continues to solidify its position as a European innovation leader, our localized approach positions us to capture 25% of the city's €32M annual web design market by Q4 2025.</w:t>
      </w:r>
    </w:p>
    <w:p>
      <w:pPr>
        <w:pStyle w:val="BodyText"/>
      </w:pPr>
      <w:r>
        <w:t xml:space="preserve">For businesses seeking a Web Designer partner who understands Germany Berlin’s unique regulatory landscape, creative identity, and growth trajectory, we stand ready to deliver measurable digital success. Our commitment to Berlin isn't just geographical—it's embedded in every pixel of our design philosophy and sales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Web Designer Services in Germany Berlin Market</dc:title>
  <dc:creator/>
  <dc:language>en</dc:language>
  <cp:keywords/>
  <dcterms:created xsi:type="dcterms:W3CDTF">2026-07-17T19:24:39Z</dcterms:created>
  <dcterms:modified xsi:type="dcterms:W3CDTF">2026-07-17T19:24:39Z</dcterms:modified>
</cp:coreProperties>
</file>

<file path=docProps/custom.xml><?xml version="1.0" encoding="utf-8"?>
<Properties xmlns="http://schemas.openxmlformats.org/officeDocument/2006/custom-properties" xmlns:vt="http://schemas.openxmlformats.org/officeDocument/2006/docPropsVTypes"/>
</file>