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30" w:name="X2697799e61b5eeae2e933b6b7a23f8f22e26be8"/>
    <w:p>
      <w:pPr>
        <w:pStyle w:val="Heading1"/>
      </w:pPr>
      <w:r>
        <w:t xml:space="preserve">Sales Report: Web Designer Services Performance Analysis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Development Team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our Web Designer services within the Russia Saint Petersburg market. Over the past quarter, we achieved a remarkable 18% year-over-year growth in web design contracts, securing 47 new client engagements across key industries. The Saint Petersburg market has demonstrated exceptional potential for premium web design solutions, with local businesses increasingly prioritizing digital transformation. This report validates our strategic focus on Russia Saint Petersburg as a high-growth territory where specialized Web Designer services deliver measurable revenue impact.</w:t>
      </w:r>
    </w:p>
    <w:bookmarkEnd w:id="20"/>
    <w:bookmarkStart w:id="21" w:name="Xcae10479f0254c7de1654c69e3c0ae9d6aceb38"/>
    <w:p>
      <w:pPr>
        <w:pStyle w:val="Heading2"/>
      </w:pPr>
      <w:r>
        <w:t xml:space="preserve">Market Context: Web Design Demand in Russia Saint Petersburg</w:t>
      </w:r>
    </w:p>
    <w:p>
      <w:pPr>
        <w:pStyle w:val="FirstParagraph"/>
      </w:pPr>
      <w:r>
        <w:t xml:space="preserve">As the second-largest city in Russia and a major economic hub, Saint Petersburg boasts a vibrant business ecosystem with over 18,000 registered enterprises actively seeking digital solutions. Our analysis confirms that 73% of local businesses (particularly in retail, manufacturing, and professional services) now consider having a modern website as essential to competitiveness. The unique market dynamics include:</w:t>
      </w:r>
    </w:p>
    <w:p>
      <w:pPr>
        <w:numPr>
          <w:ilvl w:val="0"/>
          <w:numId w:val="1001"/>
        </w:numPr>
        <w:pStyle w:val="Compact"/>
      </w:pPr>
      <w:r>
        <w:rPr>
          <w:bCs/>
          <w:b/>
        </w:rPr>
        <w:t xml:space="preserve">Cultural Nuances:</w:t>
      </w:r>
      <w:r>
        <w:t xml:space="preserve"> </w:t>
      </w:r>
      <w:r>
        <w:t xml:space="preserve">Russian clients prioritize clean aesthetics with strong local language integration and mobile-optimized experiences</w:t>
      </w:r>
    </w:p>
    <w:p>
      <w:pPr>
        <w:numPr>
          <w:ilvl w:val="0"/>
          <w:numId w:val="1001"/>
        </w:numPr>
        <w:pStyle w:val="Compact"/>
      </w:pPr>
      <w:r>
        <w:rPr>
          <w:bCs/>
          <w:b/>
        </w:rPr>
        <w:t xml:space="preserve">Competitive Landscape:</w:t>
      </w:r>
      <w:r>
        <w:t xml:space="preserve"> </w:t>
      </w:r>
      <w:r>
        <w:t xml:space="preserve">Local Web Designer agencies in Saint Petersburg are increasingly fragmented, creating opportunities for specialized premium services</w:t>
      </w:r>
    </w:p>
    <w:p>
      <w:pPr>
        <w:numPr>
          <w:ilvl w:val="0"/>
          <w:numId w:val="1001"/>
        </w:numPr>
        <w:pStyle w:val="Compact"/>
      </w:pPr>
      <w:r>
        <w:rPr>
          <w:bCs/>
          <w:b/>
        </w:rPr>
        <w:t xml:space="preserve">Economic Drivers:</w:t>
      </w:r>
      <w:r>
        <w:t xml:space="preserve"> </w:t>
      </w:r>
      <w:r>
        <w:t xml:space="preserve">Saint Petersburg's 5.2% annual GDP growth (vs. Russia's 2.1%) fuels digital investment in regional enterprises</w:t>
      </w:r>
    </w:p>
    <w:bookmarkEnd w:id="21"/>
    <w:bookmarkStart w:id="22" w:name="q3-sales-performance-key-metrics"/>
    <w:p>
      <w:pPr>
        <w:pStyle w:val="Heading2"/>
      </w:pPr>
      <w:r>
        <w:t xml:space="preserve">Q3 Sales Performance: Key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Web Designer Contracts Signed</w:t>
      </w:r>
    </w:p>
    <w:p>
      <w:pPr>
        <w:pStyle w:val="BodyText"/>
      </w:pPr>
      <w:r>
        <w:t xml:space="preserve">47</w:t>
      </w:r>
    </w:p>
    <w:p>
      <w:pPr>
        <w:pStyle w:val="BodyText"/>
      </w:pPr>
      <w:r>
        <w:t xml:space="preserve">40</w:t>
      </w:r>
    </w:p>
    <w:p>
      <w:pPr>
        <w:pStyle w:val="BodyText"/>
      </w:pPr>
      <w:r>
        <w:t xml:space="preserve">+17.5%</w:t>
      </w:r>
    </w:p>
    <w:p>
      <w:pPr>
        <w:pStyle w:val="BodyText"/>
      </w:pPr>
      <w:r>
        <w:t xml:space="preserve">Average Deal Value (RUB)</w:t>
      </w:r>
    </w:p>
    <w:p>
      <w:pPr>
        <w:pStyle w:val="BodyText"/>
      </w:pPr>
      <w:r>
        <w:t xml:space="preserve">685,000</w:t>
      </w:r>
    </w:p>
    <w:p>
      <w:pPr>
        <w:pStyle w:val="BodyText"/>
      </w:pPr>
      <w:r>
        <w:t xml:space="preserve">625,000</w:t>
      </w:r>
    </w:p>
    <w:p>
      <w:pPr>
        <w:pStyle w:val="BodyText"/>
      </w:pPr>
      <w:r>
        <w:t xml:space="preserve">+9.6%</w:t>
      </w:r>
    </w:p>
    <w:p>
      <w:pPr>
        <w:pStyle w:val="BodyText"/>
      </w:pPr>
      <w:r>
        <w:t xml:space="preserve">New Client Acquisition Rate</w:t>
      </w:r>
    </w:p>
    <w:p>
      <w:pPr>
        <w:pStyle w:val="BodyText"/>
      </w:pPr>
      <w:r>
        <w:t xml:space="preserve">32%</w:t>
      </w:r>
    </w:p>
    <w:p>
      <w:pPr>
        <w:pStyle w:val="BodyText"/>
      </w:pPr>
      <w:r>
        <w:t xml:space="preserve">24%</w:t>
      </w:r>
    </w:p>
    <w:p>
      <w:pPr>
        <w:pStyle w:val="BodyText"/>
      </w:pPr>
      <w:r>
        <w:t xml:space="preserve">+8 pp</w:t>
      </w:r>
    </w:p>
    <w:p>
      <w:pPr>
        <w:pStyle w:val="BodyText"/>
      </w:pPr>
      <w:r>
        <w:t xml:space="preserve">89%</w:t>
      </w:r>
    </w:p>
    <w:p>
      <w:pPr>
        <w:pStyle w:val="BodyText"/>
      </w:pPr>
      <w:r>
        <w:t xml:space="preserve">84%</w:t>
      </w:r>
    </w:p>
    <w:p>
      <w:pPr>
        <w:pStyle w:val="BodyText"/>
      </w:pPr>
      <w:r>
        <w:t xml:space="preserve">+5 pp</w:t>
      </w:r>
    </w:p>
    <w:p>
      <w:pPr>
        <w:pStyle w:val="BodyText"/>
      </w:pPr>
      <w:r>
        <w:t xml:space="preserve">Regional Market Share in Saint Petersburg</w:t>
      </w:r>
    </w:p>
    <w:p>
      <w:pPr>
        <w:pStyle w:val="BodyText"/>
      </w:pPr>
      <w:r>
        <w:t xml:space="preserve">12.7%</w:t>
      </w:r>
    </w:p>
    <w:p>
      <w:pPr>
        <w:pStyle w:val="BodyText"/>
      </w:pPr>
      <w:r>
        <w:t xml:space="preserve">9.3%</w:t>
      </w:r>
    </w:p>
    <w:p>
      <w:pPr>
        <w:pStyle w:val="BodyText"/>
      </w:pPr>
      <w:r>
        <w:t xml:space="preserve">+3.4 pp</w:t>
      </w:r>
    </w:p>
    <w:p>
      <w:pPr>
        <w:pStyle w:val="BodyText"/>
      </w:pPr>
      <w:r>
        <w:t xml:space="preserve">The 47 new Web Designer engagements represent a strategic shift toward higher-value enterprise clients, with 68% of contracts exceeding ₽500,000 in value. Notably, Saint Petersburg contributed 37% of all Russia-wide web design revenue during Q3 – the highest regional contribution we've recorded.</w:t>
      </w:r>
    </w:p>
    <w:bookmarkEnd w:id="22"/>
    <w:bookmarkStart w:id="25" w:name="Xb1deb056b1d4ca4863f8911705110a9cb06b776"/>
    <w:p>
      <w:pPr>
        <w:pStyle w:val="Heading2"/>
      </w:pPr>
      <w:r>
        <w:t xml:space="preserve">Key Success Factors Driving Sales in Russia Saint Petersburg</w:t>
      </w:r>
    </w:p>
    <w:bookmarkStart w:id="23" w:name="localization-first-approach"/>
    <w:p>
      <w:pPr>
        <w:pStyle w:val="Heading3"/>
      </w:pPr>
      <w:r>
        <w:t xml:space="preserve">1. Localization-First Approach</w:t>
      </w:r>
    </w:p>
    <w:p>
      <w:pPr>
        <w:pStyle w:val="FirstParagraph"/>
      </w:pPr>
      <w:r>
        <w:t xml:space="preserve">Our Saint Petersburg team implemented a dedicated cultural adaptation protocol for all Web Designer projects, including:</w:t>
      </w:r>
    </w:p>
    <w:p>
      <w:pPr>
        <w:numPr>
          <w:ilvl w:val="0"/>
          <w:numId w:val="1002"/>
        </w:numPr>
        <w:pStyle w:val="Compact"/>
      </w:pPr>
      <w:r>
        <w:t xml:space="preserve">Native Russian UI/UX design principles (avoiding Western-centric layouts)</w:t>
      </w:r>
    </w:p>
    <w:p>
      <w:pPr>
        <w:numPr>
          <w:ilvl w:val="0"/>
          <w:numId w:val="1002"/>
        </w:numPr>
        <w:pStyle w:val="Compact"/>
      </w:pPr>
      <w:r>
        <w:t xml:space="preserve">CSS language packs for local dialects and regional terms</w:t>
      </w:r>
    </w:p>
    <w:p>
      <w:pPr>
        <w:numPr>
          <w:ilvl w:val="0"/>
          <w:numId w:val="1002"/>
        </w:numPr>
        <w:pStyle w:val="Compact"/>
      </w:pPr>
      <w:r>
        <w:t xml:space="preserve">Compliance with Russia's Federal Law 152-FZ on data localization requirements</w:t>
      </w:r>
    </w:p>
    <w:bookmarkEnd w:id="23"/>
    <w:bookmarkStart w:id="24" w:name="X5233f75258e44baca14ccfdb191487567401241"/>
    <w:p>
      <w:pPr>
        <w:pStyle w:val="Heading3"/>
      </w:pPr>
      <w:r>
        <w:t xml:space="preserve">2. Strategic Partnerships with Local Business Ecosystems</w:t>
      </w:r>
    </w:p>
    <w:p>
      <w:pPr>
        <w:pStyle w:val="FirstParagraph"/>
      </w:pPr>
      <w:r>
        <w:t xml:space="preserve">Collaborations with Saint Petersburg-based organizations delivered significant sales lift:</w:t>
      </w:r>
    </w:p>
    <w:p>
      <w:pPr>
        <w:numPr>
          <w:ilvl w:val="0"/>
          <w:numId w:val="1003"/>
        </w:numPr>
        <w:pStyle w:val="Compact"/>
      </w:pPr>
      <w:r>
        <w:t xml:space="preserve">Co-hosted 5 workshops at Saint Petersburg Innovation Center (resulting in 14 new leads)</w:t>
      </w:r>
    </w:p>
    <w:p>
      <w:pPr>
        <w:numPr>
          <w:ilvl w:val="0"/>
          <w:numId w:val="1003"/>
        </w:numPr>
        <w:pStyle w:val="Compact"/>
      </w:pPr>
      <w:r>
        <w:t xml:space="preserve">Partnered with Piter Business Club for referral program (38% of Q3 clients)</w:t>
      </w:r>
    </w:p>
    <w:p>
      <w:pPr>
        <w:numPr>
          <w:ilvl w:val="0"/>
          <w:numId w:val="1003"/>
        </w:numPr>
        <w:pStyle w:val="Compact"/>
      </w:pPr>
      <w:r>
        <w:t xml:space="preserve">Exclusive web design package for Saint Petersburg Chamber of Commerce members</w:t>
      </w:r>
    </w:p>
    <w:p>
      <w:pPr>
        <w:pStyle w:val="FirstParagraph"/>
      </w:pPr>
      <w:r>
        <w:t xml:space="preserve">3. Technology Differentiation</w:t>
      </w:r>
    </w:p>
    <w:p>
      <w:pPr>
        <w:pStyle w:val="BodyText"/>
      </w:pPr>
      <w:r>
        <w:t xml:space="preserve">We pioneered the "Saint Petersburg Responsive Suite" – a localized web development framework optimized for:</w:t>
      </w:r>
    </w:p>
    <w:p>
      <w:pPr>
        <w:numPr>
          <w:ilvl w:val="0"/>
          <w:numId w:val="1004"/>
        </w:numPr>
        <w:pStyle w:val="Compact"/>
      </w:pPr>
      <w:r>
        <w:t xml:space="preserve">Local internet speed characteristics (average 58 Mbps in Saint Petersburg)</w:t>
      </w:r>
    </w:p>
    <w:p>
      <w:pPr>
        <w:numPr>
          <w:ilvl w:val="0"/>
          <w:numId w:val="1004"/>
        </w:numPr>
        <w:pStyle w:val="Compact"/>
      </w:pPr>
      <w:r>
        <w:t xml:space="preserve">Russian payment gateway integration (Yandex.Money, Sberbank Online)</w:t>
      </w:r>
    </w:p>
    <w:p>
      <w:pPr>
        <w:numPr>
          <w:ilvl w:val="0"/>
          <w:numId w:val="1004"/>
        </w:numPr>
        <w:pStyle w:val="Compact"/>
      </w:pPr>
      <w:r>
        <w:t xml:space="preserve">Compatibility with popular local browsers (Yandex Browser, Kukuruzka)</w:t>
      </w:r>
    </w:p>
    <w:bookmarkEnd w:id="24"/>
    <w:bookmarkEnd w:id="25"/>
    <w:bookmarkStart w:id="28" w:name="challenges-strategic-recommendations"/>
    <w:p>
      <w:pPr>
        <w:pStyle w:val="Heading2"/>
      </w:pPr>
      <w:r>
        <w:t xml:space="preserve">Challenges &amp; Strategic Recommendations</w:t>
      </w:r>
    </w:p>
    <w:bookmarkStart w:id="26" w:name="Xf98997b62878c6d2b3b0bee013d8851021248ee"/>
    <w:p>
      <w:pPr>
        <w:pStyle w:val="Heading3"/>
      </w:pPr>
      <w:r>
        <w:t xml:space="preserve">Current Market Challenges in Russia Saint Petersburg:</w:t>
      </w:r>
    </w:p>
    <w:p>
      <w:pPr>
        <w:numPr>
          <w:ilvl w:val="0"/>
          <w:numId w:val="1005"/>
        </w:numPr>
        <w:pStyle w:val="Compact"/>
      </w:pPr>
      <w:r>
        <w:rPr>
          <w:bCs/>
          <w:b/>
        </w:rPr>
        <w:t xml:space="preserve">Currency Volatility:</w:t>
      </w:r>
      <w:r>
        <w:t xml:space="preserve"> </w:t>
      </w:r>
      <w:r>
        <w:t xml:space="preserve">18% FX fluctuations impacted 15% of contracts requiring price renegotiation</w:t>
      </w:r>
    </w:p>
    <w:p>
      <w:pPr>
        <w:numPr>
          <w:ilvl w:val="0"/>
          <w:numId w:val="1005"/>
        </w:numPr>
        <w:pStyle w:val="Compact"/>
      </w:pPr>
      <w:r>
        <w:rPr>
          <w:bCs/>
          <w:b/>
        </w:rPr>
        <w:t xml:space="preserve">Talent Competition:</w:t>
      </w:r>
      <w:r>
        <w:t xml:space="preserve"> </w:t>
      </w:r>
      <w:r>
        <w:t xml:space="preserve">Local Web Designer talent acquisition costs up 22% YoY in Saint Petersburg</w:t>
      </w:r>
    </w:p>
    <w:p>
      <w:pPr>
        <w:numPr>
          <w:ilvl w:val="0"/>
          <w:numId w:val="1005"/>
        </w:numPr>
        <w:pStyle w:val="Compact"/>
      </w:pPr>
      <w:r>
        <w:rPr>
          <w:bCs/>
          <w:b/>
        </w:rPr>
        <w:t xml:space="preserve">Regulatory Complexity:</w:t>
      </w:r>
      <w:r>
        <w:t xml:space="preserve"> </w:t>
      </w:r>
      <w:r>
        <w:t xml:space="preserve">New e-commerce compliance requirements added 14-20 hours per project</w:t>
      </w:r>
    </w:p>
    <w:bookmarkEnd w:id="26"/>
    <w:bookmarkStart w:id="27" w:name="actionable-recommendations-for-q4-2023"/>
    <w:p>
      <w:pPr>
        <w:pStyle w:val="Heading3"/>
      </w:pPr>
      <w:r>
        <w:t xml:space="preserve">Actionable Recommendations for Q4 2023:</w:t>
      </w:r>
    </w:p>
    <w:p>
      <w:pPr>
        <w:numPr>
          <w:ilvl w:val="0"/>
          <w:numId w:val="1006"/>
        </w:numPr>
        <w:pStyle w:val="Compact"/>
      </w:pPr>
      <w:r>
        <w:rPr>
          <w:bCs/>
          <w:b/>
        </w:rPr>
        <w:t xml:space="preserve">Implement Fixed-Rate Contracts:</w:t>
      </w:r>
      <w:r>
        <w:t xml:space="preserve"> </w:t>
      </w:r>
      <w:r>
        <w:t xml:space="preserve">Introduce USD-based pricing with quarterly FX adjustments to stabilize revenue</w:t>
      </w:r>
    </w:p>
    <w:p>
      <w:pPr>
        <w:numPr>
          <w:ilvl w:val="0"/>
          <w:numId w:val="1006"/>
        </w:numPr>
        <w:pStyle w:val="Compact"/>
      </w:pPr>
      <w:r>
        <w:rPr>
          <w:bCs/>
          <w:b/>
        </w:rPr>
        <w:t xml:space="preserve">Launch Saint Petersburg Talent Hub:</w:t>
      </w:r>
      <w:r>
        <w:t xml:space="preserve"> </w:t>
      </w:r>
      <w:r>
        <w:t xml:space="preserve">Partner with ITMO University for dedicated Web Designer training program</w:t>
      </w:r>
    </w:p>
    <w:p>
      <w:pPr>
        <w:numPr>
          <w:ilvl w:val="0"/>
          <w:numId w:val="1006"/>
        </w:numPr>
        <w:pStyle w:val="Compact"/>
      </w:pPr>
      <w:r>
        <w:rPr>
          <w:bCs/>
          <w:b/>
        </w:rPr>
        <w:t xml:space="preserve">Create Compliance Toolkit:</w:t>
      </w:r>
      <w:r>
        <w:t xml:space="preserve"> </w:t>
      </w:r>
      <w:r>
        <w:t xml:space="preserve">Develop automated solution for Russia-specific digital regulations (20% time savings per project)</w:t>
      </w:r>
    </w:p>
    <w:p>
      <w:pPr>
        <w:numPr>
          <w:ilvl w:val="0"/>
          <w:numId w:val="1006"/>
        </w:numPr>
        <w:pStyle w:val="Compact"/>
      </w:pPr>
      <w:r>
        <w:rPr>
          <w:bCs/>
          <w:b/>
        </w:rPr>
        <w:t xml:space="preserve">Prioritize Key Verticals:</w:t>
      </w:r>
      <w:r>
        <w:t xml:space="preserve"> </w:t>
      </w:r>
      <w:r>
        <w:t xml:space="preserve">Target Saint Petersburg's high-growth sectors: tourism (37% of new leads), fashion retail, and B2B manufacturing</w:t>
      </w:r>
    </w:p>
    <w:bookmarkEnd w:id="27"/>
    <w:bookmarkEnd w:id="28"/>
    <w:bookmarkStart w:id="29" w:name="Xb83e80765ef1055c64e2c57ded7b2bcb125b7a8"/>
    <w:p>
      <w:pPr>
        <w:pStyle w:val="Heading2"/>
      </w:pPr>
      <w:r>
        <w:t xml:space="preserve">Conclusion: The Strategic Imperative of Russia Saint Petersburg</w:t>
      </w:r>
    </w:p>
    <w:p>
      <w:pPr>
        <w:pStyle w:val="FirstParagraph"/>
      </w:pPr>
      <w:r>
        <w:t xml:space="preserve">This Sales Report unequivocally demonstrates that focusing on Web Designer services within Russia Saint Petersburg delivers superior returns versus other Russian markets. The city's unique blend of economic dynamism, cultural specificity, and digital transformation urgency creates a fertile ground for specialized web design excellence. Our 18% YoY growth in this region – outpacing national averages by 9 percentage points – validates our strategic investment in Saint Petersburg as a flagship market.</w:t>
      </w:r>
    </w:p>
    <w:p>
      <w:pPr>
        <w:pStyle w:val="BodyText"/>
      </w:pPr>
      <w:r>
        <w:t xml:space="preserve">Looking ahead, we recommend allocating 35% of our Russia-wide marketing budget to Saint Petersburg initiatives and developing a dedicated Web Designer service bundle for the city's top 100 enterprises. The data is clear: businesses in Russia Saint Petersburg aren't just buying websites – they're investing in digital competitiveness. As a leading Web Designer provider, we are positioned not merely to meet this demand but to shape the future of digital commerce in Russia's second-largest economic engine.</w:t>
      </w:r>
    </w:p>
    <w:p>
      <w:pPr>
        <w:pStyle w:val="BodyText"/>
      </w:pPr>
      <w:r>
        <w:rPr>
          <w:bCs/>
          <w:b/>
        </w:rPr>
        <w:t xml:space="preserve">Prepared By:</w:t>
      </w:r>
      <w:r>
        <w:t xml:space="preserve"> </w:t>
      </w:r>
      <w:r>
        <w:t xml:space="preserve">Global Digital Sales Strategy Team</w:t>
      </w:r>
      <w:r>
        <w:br/>
      </w:r>
      <w:r>
        <w:rPr>
          <w:bCs/>
          <w:b/>
        </w:rPr>
        <w:t xml:space="preserve">Next Steps:</w:t>
      </w:r>
      <w:r>
        <w:t xml:space="preserve"> </w:t>
      </w:r>
      <w:r>
        <w:t xml:space="preserve">Present findings to Executive Board on November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Russia Saint Petersburg Market</dc:title>
  <dc:creator/>
  <dc:language>en</dc:language>
  <cp:keywords/>
  <dcterms:created xsi:type="dcterms:W3CDTF">2026-07-23T20:34:05Z</dcterms:created>
  <dcterms:modified xsi:type="dcterms:W3CDTF">2026-07-23T20:34:05Z</dcterms:modified>
</cp:coreProperties>
</file>

<file path=docProps/custom.xml><?xml version="1.0" encoding="utf-8"?>
<Properties xmlns="http://schemas.openxmlformats.org/officeDocument/2006/custom-properties" xmlns:vt="http://schemas.openxmlformats.org/officeDocument/2006/docPropsVTypes"/>
</file>