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Guangzhou</w:t>
      </w:r>
      <w:r>
        <w:t xml:space="preserve"> </w:t>
      </w:r>
      <w:r>
        <w:t xml:space="preserve">Welder</w:t>
      </w:r>
      <w:r>
        <w:t xml:space="preserve"> </w:t>
      </w:r>
      <w:r>
        <w:t xml:space="preserve">Sales</w:t>
      </w:r>
      <w:r>
        <w:t xml:space="preserve"> </w:t>
      </w:r>
      <w:r>
        <w:t xml:space="preserve">Report</w:t>
      </w:r>
    </w:p>
    <w:bookmarkStart w:id="28" w:name="Xee033124f128159964b653a9b471a78944026ec"/>
    <w:p>
      <w:pPr>
        <w:pStyle w:val="Heading1"/>
      </w:pPr>
      <w:r>
        <w:t xml:space="preserve">Comprehensive Sales Report: Industrial Welder Performance in China Guangzhou Market</w:t>
      </w:r>
    </w:p>
    <w:bookmarkStart w:id="20" w:name="introduction"/>
    <w:p>
      <w:pPr>
        <w:pStyle w:val="Heading2"/>
      </w:pPr>
      <w:r>
        <w:t xml:space="preserve">Introduction</w:t>
      </w:r>
    </w:p>
    <w:p>
      <w:pPr>
        <w:pStyle w:val="FirstParagraph"/>
      </w:pPr>
      <w:r>
        <w:t xml:space="preserve">This official Sales Report presents a detailed analysis of industrial welder sales performance across the Guangzhou metropolitan region, serving as a critical operational document for our strategic planning in China's manufacturing hub. As the economic engine of Southern China and home to over 15 million residents with more than 50,000 manufacturing enterprises, Guangzhou represents one of our most significant growth corridors for welding equipment. This report covers Q3 2023 performance metrics, market dynamics, customer insights, and forward-looking strategies specifically tailored for the welder product line in this pivotal Chinese market.</w:t>
      </w:r>
    </w:p>
    <w:bookmarkEnd w:id="20"/>
    <w:bookmarkStart w:id="21" w:name="Xff40861c41a5a4e4f534975d5a04a552b48ee89"/>
    <w:p>
      <w:pPr>
        <w:pStyle w:val="Heading2"/>
      </w:pPr>
      <w:r>
        <w:t xml:space="preserve">Market Context: Welder Demand in China Guangzhou</w:t>
      </w:r>
    </w:p>
    <w:p>
      <w:pPr>
        <w:pStyle w:val="FirstParagraph"/>
      </w:pPr>
      <w:r>
        <w:t xml:space="preserve">Guangzhou's position as China's premier manufacturing and export center drives exceptional demand for high-precision welding solutions. With 38% of the city's GDP derived from advanced manufacturing sectors including automotive assembly, shipbuilding, and electrical equipment production, the industrial welder market has expanded at a compound annual growth rate of 12.7% over the past three years. This Sales Report identifies Guangzhou as our single largest regional market for welding equipment outside China's core manufacturing zones, accounting for 24% of our national welder sales volume in 2023.</w:t>
      </w:r>
    </w:p>
    <w:p>
      <w:pPr>
        <w:pStyle w:val="BodyText"/>
      </w:pPr>
      <w:r>
        <w:t xml:space="preserve">The city's government initiatives like "Guangdong-Hong Kong-Macao Greater Bay Area Development Plan" have accelerated infrastructure projects requiring specialized welding, creating unprecedented opportunities for advanced welders. Our market research indicates that Guangzhou manufacturers increasingly prioritize automation-ready welders with IoT integration to meet export quality standards demanded by European and North American clients – a trend directly influencing our product positioning strategy.</w:t>
      </w:r>
    </w:p>
    <w:bookmarkEnd w:id="21"/>
    <w:bookmarkStart w:id="22" w:name="q3-2023-sales-performance-breakdown"/>
    <w:p>
      <w:pPr>
        <w:pStyle w:val="Heading2"/>
      </w:pPr>
      <w:r>
        <w:t xml:space="preserve">Q3 2023 Sales Performance Breakdown</w:t>
      </w:r>
    </w:p>
    <w:p>
      <w:pPr>
        <w:pStyle w:val="FirstParagraph"/>
      </w:pPr>
      <w:r>
        <w:t xml:space="preserve">This quarter's performance demonstrates exceptional traction for our premium welder models. Total units sold in China Guangzhou reached 1,478 units, representing a 19% year-over-year increase and exceeding quarterly targets by 15%. The sales mix shows strategic success across three key segments:</w:t>
      </w:r>
    </w:p>
    <w:p>
      <w:pPr>
        <w:numPr>
          <w:ilvl w:val="0"/>
          <w:numId w:val="1001"/>
        </w:numPr>
        <w:pStyle w:val="Compact"/>
      </w:pPr>
      <w:r>
        <w:rPr>
          <w:bCs/>
          <w:b/>
        </w:rPr>
        <w:t xml:space="preserve">Automotive Welder Segment:</w:t>
      </w:r>
      <w:r>
        <w:t xml:space="preserve"> </w:t>
      </w:r>
      <w:r>
        <w:t xml:space="preserve">620 units sold (42% of total), driven by new electric vehicle assembly plants in Guangzhou's Nansha District</w:t>
      </w:r>
    </w:p>
    <w:p>
      <w:pPr>
        <w:numPr>
          <w:ilvl w:val="0"/>
          <w:numId w:val="1001"/>
        </w:numPr>
        <w:pStyle w:val="Compact"/>
      </w:pPr>
      <w:r>
        <w:rPr>
          <w:bCs/>
          <w:b/>
        </w:rPr>
        <w:t xml:space="preserve">Industrial Fabrication Segment:</w:t>
      </w:r>
      <w:r>
        <w:t xml:space="preserve"> </w:t>
      </w:r>
      <w:r>
        <w:t xml:space="preserve">587 units sold (40%), supporting the city's $3.7B construction boom for commercial infrastructure</w:t>
      </w:r>
    </w:p>
    <w:p>
      <w:pPr>
        <w:numPr>
          <w:ilvl w:val="0"/>
          <w:numId w:val="1001"/>
        </w:numPr>
        <w:pStyle w:val="Compact"/>
      </w:pPr>
      <w:r>
        <w:rPr>
          <w:bCs/>
          <w:b/>
        </w:rPr>
        <w:t xml:space="preserve">SME &amp; Workshop Segment:</w:t>
      </w:r>
      <w:r>
        <w:t xml:space="preserve"> </w:t>
      </w:r>
      <w:r>
        <w:t xml:space="preserve">271 units sold (18%), with significant adoption of our compact portable welders among Guangzhou's 45,000+ small manufacturing workshops</w:t>
      </w:r>
    </w:p>
    <w:p>
      <w:pPr>
        <w:pStyle w:val="FirstParagraph"/>
      </w:pPr>
      <w:r>
        <w:t xml:space="preserve">The average transaction value for welders in Guangzhou reached RMB 38,500 – surpassing the national average by 22% – reflecting strong demand for high-end MIG/TIG welding systems. Notable clients include GAC Group's new EV manufacturing facility and Yantai CIMC's shipping container production plant (both headquartered in Guangzhou). This Sales Report confirms our market leadership position with a 34% regional share, significantly outpacing international competitors like Lincoln Electric and ESAB.</w:t>
      </w:r>
    </w:p>
    <w:bookmarkEnd w:id="22"/>
    <w:bookmarkStart w:id="23" w:name="key-performance-indicators"/>
    <w:p>
      <w:pPr>
        <w:pStyle w:val="Heading2"/>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Benchmark Target</w:t>
            </w:r>
          </w:p>
        </w:tc>
      </w:tr>
      <w:tr>
        <w:tc>
          <w:tcPr/>
          <w:p>
            <w:pPr>
              <w:pStyle w:val="Compact"/>
              <w:jc w:val="left"/>
            </w:pPr>
            <w:r>
              <w:t xml:space="preserve">Total Units Sold (Guangzhou)</w:t>
            </w:r>
          </w:p>
        </w:tc>
        <w:tc>
          <w:tcPr/>
          <w:p>
            <w:pPr>
              <w:pStyle w:val="Compact"/>
              <w:jc w:val="left"/>
            </w:pPr>
            <w:r>
              <w:t xml:space="preserve">1,478 units</w:t>
            </w:r>
          </w:p>
        </w:tc>
        <w:tc>
          <w:tcPr/>
          <w:p>
            <w:pPr>
              <w:pStyle w:val="Compact"/>
              <w:jc w:val="left"/>
            </w:pPr>
            <w:r>
              <w:t xml:space="preserve">+19%</w:t>
            </w:r>
          </w:p>
        </w:tc>
        <w:tc>
          <w:tcPr/>
          <w:p>
            <w:pPr>
              <w:pStyle w:val="Compact"/>
              <w:jc w:val="left"/>
            </w:pPr>
            <w:r>
              <w:t xml:space="preserve">+12%</w:t>
            </w:r>
          </w:p>
        </w:tc>
      </w:tr>
      <w:tr>
        <w:tc>
          <w:tcPr/>
          <w:p>
            <w:pPr>
              <w:pStyle w:val="Compact"/>
              <w:jc w:val="left"/>
            </w:pPr>
            <w:r>
              <w:t xml:space="preserve">Revenue Contribution</w:t>
            </w:r>
          </w:p>
        </w:tc>
        <w:tc>
          <w:tcPr/>
          <w:p>
            <w:pPr>
              <w:pStyle w:val="Compact"/>
              <w:jc w:val="left"/>
            </w:pPr>
            <w:r>
              <w:t xml:space="preserve">RMB 56.9M</w:t>
            </w:r>
          </w:p>
        </w:tc>
        <w:tc>
          <w:tcPr/>
          <w:p>
            <w:pPr>
              <w:pStyle w:val="Compact"/>
              <w:jc w:val="left"/>
            </w:pPr>
            <w:r>
              <w:t xml:space="preserve">+23%</w:t>
            </w:r>
          </w:p>
        </w:tc>
        <w:tc>
          <w:tcPr/>
          <w:p>
            <w:pPr>
              <w:pStyle w:val="Compact"/>
            </w:pPr>
          </w:p>
        </w:tc>
      </w:tr>
      <w:tr>
        <w:tc>
          <w:tcPr/>
          <w:p>
            <w:pPr>
              <w:pStyle w:val="Compact"/>
              <w:jc w:val="left"/>
            </w:pPr>
            <w:r>
              <w:t xml:space="preserve">New Customer Acquisition Rate</w:t>
            </w:r>
          </w:p>
        </w:tc>
        <w:tc>
          <w:tcPr/>
          <w:p>
            <w:pPr>
              <w:pStyle w:val="Compact"/>
              <w:jc w:val="left"/>
            </w:pPr>
            <w:r>
              <w:t xml:space="preserve">47% of sales</w:t>
            </w:r>
          </w:p>
        </w:tc>
        <w:tc>
          <w:tcPr/>
          <w:p>
            <w:pPr>
              <w:pStyle w:val="Compact"/>
              <w:jc w:val="left"/>
            </w:pPr>
            <w:r>
              <w:t xml:space="preserve">+8%</w:t>
            </w:r>
          </w:p>
        </w:tc>
        <w:tc>
          <w:tcPr/>
          <w:p>
            <w:pPr>
              <w:pStyle w:val="Compact"/>
            </w:pPr>
          </w:p>
        </w:tc>
      </w:tr>
      <w:tr>
        <w:tc>
          <w:tcPr/>
          <w:p>
            <w:pPr>
              <w:pStyle w:val="Compact"/>
              <w:jc w:val="left"/>
            </w:pPr>
            <w:r>
              <w:t xml:space="preserve">Customer Retention Rate</w:t>
            </w:r>
          </w:p>
        </w:tc>
        <w:tc>
          <w:tcPr/>
          <w:p>
            <w:pPr>
              <w:pStyle w:val="Compact"/>
              <w:jc w:val="left"/>
            </w:pPr>
            <w:r>
              <w:t xml:space="preserve">89%</w:t>
            </w:r>
          </w:p>
        </w:tc>
        <w:tc>
          <w:tcPr/>
          <w:p>
            <w:pPr>
              <w:pStyle w:val="Compact"/>
              <w:jc w:val="left"/>
            </w:pPr>
            <w:r>
              <w:t xml:space="preserve">+5%</w:t>
            </w:r>
          </w:p>
        </w:tc>
        <w:tc>
          <w:tcPr/>
          <w:p>
            <w:pPr>
              <w:pStyle w:val="Compact"/>
            </w:pPr>
          </w:p>
        </w:tc>
      </w:tr>
    </w:tbl>
    <w:bookmarkEnd w:id="23"/>
    <w:bookmarkStart w:id="24" w:name="regional-challenges-strategic-responses"/>
    <w:p>
      <w:pPr>
        <w:pStyle w:val="Heading2"/>
      </w:pPr>
      <w:r>
        <w:t xml:space="preserve">Regional Challenges &amp; Strategic Responses</w:t>
      </w:r>
    </w:p>
    <w:p>
      <w:pPr>
        <w:pStyle w:val="FirstParagraph"/>
      </w:pPr>
      <w:r>
        <w:t xml:space="preserve">This Sales Report identifies two critical challenges in the Guangzhou market requiring immediate attention:</w:t>
      </w:r>
    </w:p>
    <w:p>
      <w:pPr>
        <w:numPr>
          <w:ilvl w:val="0"/>
          <w:numId w:val="1002"/>
        </w:numPr>
        <w:pStyle w:val="Compact"/>
      </w:pPr>
      <w:r>
        <w:rPr>
          <w:bCs/>
          <w:b/>
        </w:rPr>
        <w:t xml:space="preserve">Competitive Pricing Pressure:</w:t>
      </w:r>
      <w:r>
        <w:t xml:space="preserve"> </w:t>
      </w:r>
      <w:r>
        <w:t xml:space="preserve">Local manufacturers' price wars have intensified, particularly affecting mid-tier welder sales. Our response includes launching the "Guangzhou Value Series" with localized component sourcing, reducing costs by 18% while maintaining quality.</w:t>
      </w:r>
    </w:p>
    <w:p>
      <w:pPr>
        <w:numPr>
          <w:ilvl w:val="0"/>
          <w:numId w:val="1002"/>
        </w:numPr>
        <w:pStyle w:val="Compact"/>
      </w:pPr>
      <w:r>
        <w:rPr>
          <w:bCs/>
          <w:b/>
        </w:rPr>
        <w:t xml:space="preserve">After-Sales Service Gaps:</w:t>
      </w:r>
      <w:r>
        <w:t xml:space="preserve"> </w:t>
      </w:r>
      <w:r>
        <w:t xml:space="preserve">Limited service centers outside Guangzhou's central district created customer frustration. We've deployed five new certified service hubs across the city (Panyu, Baiyun, Huadu) and implemented our "Welder Care 24/7" mobile app for real-time technical support – reducing response time from 72 hours to under 4 hours.</w:t>
      </w:r>
    </w:p>
    <w:p>
      <w:pPr>
        <w:pStyle w:val="FirstParagraph"/>
      </w:pPr>
      <w:r>
        <w:t xml:space="preserve">These initiatives directly address Guangzhou-specific market needs. The service center expansion alone has increased positive customer reviews on local platforms (Dianping, Meituan) by 63%, translating into a 31% higher referral rate for new welder purchases.</w:t>
      </w:r>
    </w:p>
    <w:bookmarkEnd w:id="24"/>
    <w:bookmarkStart w:id="25" w:name="growth-opportunities-in-china-guangzhou"/>
    <w:p>
      <w:pPr>
        <w:pStyle w:val="Heading2"/>
      </w:pPr>
      <w:r>
        <w:t xml:space="preserve">Growth Opportunities in China Guangzhou</w:t>
      </w:r>
    </w:p>
    <w:p>
      <w:pPr>
        <w:pStyle w:val="FirstParagraph"/>
      </w:pPr>
      <w:r>
        <w:t xml:space="preserve">This Sales Report highlights three high-potential growth vectors uniquely positioned for Guangzhou:</w:t>
      </w:r>
    </w:p>
    <w:p>
      <w:pPr>
        <w:numPr>
          <w:ilvl w:val="0"/>
          <w:numId w:val="1003"/>
        </w:numPr>
        <w:pStyle w:val="Compact"/>
      </w:pPr>
      <w:r>
        <w:rPr>
          <w:bCs/>
          <w:b/>
        </w:rPr>
        <w:t xml:space="preserve">EV Manufacturing Surge:</w:t>
      </w:r>
      <w:r>
        <w:t xml:space="preserve"> </w:t>
      </w:r>
      <w:r>
        <w:t xml:space="preserve">With 17 new EV production lines approved in Guangzhou Q3, we've partnered with GAC and NIO to co-develop welding systems for battery assembly, representing a potential RMB 85M contract pipeline.</w:t>
      </w:r>
    </w:p>
    <w:p>
      <w:pPr>
        <w:numPr>
          <w:ilvl w:val="0"/>
          <w:numId w:val="1003"/>
        </w:numPr>
        <w:pStyle w:val="Compact"/>
      </w:pPr>
      <w:r>
        <w:rPr>
          <w:bCs/>
          <w:b/>
        </w:rPr>
        <w:t xml:space="preserve">SME Digitalization Drive:</w:t>
      </w:r>
      <w:r>
        <w:t xml:space="preserve"> </w:t>
      </w:r>
      <w:r>
        <w:t xml:space="preserve">The Guangzhou SME Digital Transformation Program offers subsidies for smart welding equipment. We're tailoring our IoT-enabled welders with China-specific data compliance features to capture this government-backed initiative.</w:t>
      </w:r>
    </w:p>
    <w:p>
      <w:pPr>
        <w:numPr>
          <w:ilvl w:val="0"/>
          <w:numId w:val="1003"/>
        </w:numPr>
        <w:pStyle w:val="Compact"/>
      </w:pPr>
      <w:r>
        <w:rPr>
          <w:bCs/>
          <w:b/>
        </w:rPr>
        <w:t xml:space="preserve">Green Manufacturing Compliance:</w:t>
      </w:r>
      <w:r>
        <w:t xml:space="preserve"> </w:t>
      </w:r>
      <w:r>
        <w:t xml:space="preserve">New environmental regulations require low-emission welding solutions. Our new "EcoWeld" series (20% lower CO2 emissions) has already secured pilot contracts at 12 Guangzhou industrial parks.</w:t>
      </w:r>
    </w:p>
    <w:bookmarkEnd w:id="25"/>
    <w:bookmarkStart w:id="26" w:name="strategic-recommendations"/>
    <w:p>
      <w:pPr>
        <w:pStyle w:val="Heading2"/>
      </w:pPr>
      <w:r>
        <w:t xml:space="preserve">Strategic Recommendations</w:t>
      </w:r>
    </w:p>
    <w:p>
      <w:pPr>
        <w:pStyle w:val="FirstParagraph"/>
      </w:pPr>
      <w:r>
        <w:t xml:space="preserve">This comprehensive Sales Report concludes with three actionable strategies to dominate the China Guangzhou welder market:</w:t>
      </w:r>
    </w:p>
    <w:p>
      <w:pPr>
        <w:numPr>
          <w:ilvl w:val="0"/>
          <w:numId w:val="1004"/>
        </w:numPr>
        <w:pStyle w:val="Compact"/>
      </w:pPr>
      <w:r>
        <w:rPr>
          <w:bCs/>
          <w:b/>
        </w:rPr>
        <w:t xml:space="preserve">Establish a Guangzhou Welder Innovation Center:</w:t>
      </w:r>
      <w:r>
        <w:t xml:space="preserve"> </w:t>
      </w:r>
      <w:r>
        <w:t xml:space="preserve">Invest RMB 15M to create a local R&amp;D hub focused exclusively on solving industry pain points identified in our Q3 client surveys (e.g., corrosion resistance for coastal manufacturing zones).</w:t>
      </w:r>
    </w:p>
    <w:p>
      <w:pPr>
        <w:numPr>
          <w:ilvl w:val="0"/>
          <w:numId w:val="1004"/>
        </w:numPr>
        <w:pStyle w:val="Compact"/>
      </w:pPr>
      <w:r>
        <w:rPr>
          <w:bCs/>
          <w:b/>
        </w:rPr>
        <w:t xml:space="preserve">Implement Guangzhou Sales Force Specialization:</w:t>
      </w:r>
      <w:r>
        <w:t xml:space="preserve"> </w:t>
      </w:r>
      <w:r>
        <w:t xml:space="preserve">Train 40% of regional sales team in welding technology certifications, directly improving customer trust and closing rates by 28% as demonstrated in our pilot program.</w:t>
      </w:r>
    </w:p>
    <w:p>
      <w:pPr>
        <w:numPr>
          <w:ilvl w:val="0"/>
          <w:numId w:val="1004"/>
        </w:numPr>
        <w:pStyle w:val="Compact"/>
      </w:pPr>
      <w:r>
        <w:rPr>
          <w:bCs/>
          <w:b/>
        </w:rPr>
        <w:t xml:space="preserve">Launch "Guangzhou Welding Excellence" Certification:</w:t>
      </w:r>
      <w:r>
        <w:t xml:space="preserve"> </w:t>
      </w:r>
      <w:r>
        <w:t xml:space="preserve">Partner with Guangzhou Institute of Technology to create a standardized training program for welder operators – positioning us as the quality authority in this critical market.</w:t>
      </w:r>
    </w:p>
    <w:bookmarkEnd w:id="26"/>
    <w:bookmarkStart w:id="27" w:name="conclusion"/>
    <w:p>
      <w:pPr>
        <w:pStyle w:val="Heading2"/>
      </w:pPr>
      <w:r>
        <w:t xml:space="preserve">Conclusion</w:t>
      </w:r>
    </w:p>
    <w:p>
      <w:pPr>
        <w:pStyle w:val="FirstParagraph"/>
      </w:pPr>
      <w:r>
        <w:t xml:space="preserve">The China Guangzhou market continues to demonstrate extraordinary potential for industrial welder sales, driven by strategic manufacturing investments and government infrastructure initiatives. This Sales Report confirms that our localized approach – specifically adapting product features, service models, and marketing strategies to Guangzhou's unique ecosystem – has delivered exceptional results. The 19% year-over-year growth in welder sales validates our regional investment strategy while the emerging opportunities in electric vehicle manufacturing and green technology present significant near-term revenue expansion potential.</w:t>
      </w:r>
    </w:p>
    <w:p>
      <w:pPr>
        <w:pStyle w:val="BodyText"/>
      </w:pPr>
      <w:r>
        <w:t xml:space="preserve">As the economic heart of Southern China, Guangzhou represents not just a major market for our welder products but a strategic proving ground for global manufacturing solutions. We recommend maintaining accelerated investment in this region, with particular focus on the innovative service model and product customization that has already proven successful in our Q3 performance. The future of industrial welding in China's most dynamic city is bright – and our Sales Report confirms we are positioned for sustained leadership.</w:t>
      </w:r>
    </w:p>
    <w:p>
      <w:pPr>
        <w:pStyle w:val="BodyText"/>
      </w:pPr>
      <w:r>
        <w:rPr>
          <w:iCs/>
          <w:i/>
        </w:rPr>
        <w:t xml:space="preserve">This document constitutes the official Quarterly Sales Report for Welder Products, covering operations within Guangzhou, China. Prepared on October 26, 2023 by Global Manufacturing Solutions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Guangzhou Welder Sales Report</dc:title>
  <dc:creator/>
  <dc:language>en</dc:language>
  <cp:keywords/>
  <dcterms:created xsi:type="dcterms:W3CDTF">2026-07-23T13:29:16Z</dcterms:created>
  <dcterms:modified xsi:type="dcterms:W3CDTF">2026-07-23T13:29:16Z</dcterms:modified>
</cp:coreProperties>
</file>

<file path=docProps/custom.xml><?xml version="1.0" encoding="utf-8"?>
<Properties xmlns="http://schemas.openxmlformats.org/officeDocument/2006/custom-properties" xmlns:vt="http://schemas.openxmlformats.org/officeDocument/2006/docPropsVTypes"/>
</file>