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in</w:t>
      </w:r>
      <w:r>
        <w:t xml:space="preserve"> </w:t>
      </w:r>
      <w:r>
        <w:t xml:space="preserve">Colombia</w:t>
      </w:r>
      <w:r>
        <w:t xml:space="preserve"> </w:t>
      </w:r>
      <w:r>
        <w:t xml:space="preserve">Bogotá</w:t>
      </w:r>
    </w:p>
    <w:bookmarkStart w:id="28" w:name="X21d4cff746ff826659db831bff4151688582ed8"/>
    <w:p>
      <w:pPr>
        <w:pStyle w:val="Heading1"/>
      </w:pPr>
      <w:r>
        <w:t xml:space="preserve">Comprehensive Sales Report: Advanced Welder Solutions for Industrial Growth in Colombia Bogotá</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Manufacturing Division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performance of our premium welding equipment line across Colombia Bogotá, the nation's economic epicenter. The report demonstrates exceptional market penetration, with a 37% year-over-year growth in welder sales, significantly outpacing regional competitors. Bogotá's construction boom and industrial modernization initiatives have created unprecedented demand for reliable welding solutions. This document confirms that strategic localization of our "ProWeld 5000" series has positioned us as the preferred partner for critical infrastructure projects throughout Colombia Bogotá.</w:t>
      </w:r>
    </w:p>
    <w:bookmarkEnd w:id="20"/>
    <w:bookmarkStart w:id="21" w:name="X08d53be6e9faa00975e2d048220c7ce85a2f3ed"/>
    <w:p>
      <w:pPr>
        <w:pStyle w:val="Heading2"/>
      </w:pPr>
      <w:r>
        <w:t xml:space="preserve">Market Analysis: Welder Demand in Colombia Bogotá</w:t>
      </w:r>
    </w:p>
    <w:p>
      <w:pPr>
        <w:pStyle w:val="FirstParagraph"/>
      </w:pPr>
      <w:r>
        <w:t xml:space="preserve">Bogotá's industrial landscape is undergoing transformation driven by national infrastructure investments and urban development. The city's 15% annual construction growth rate (World Bank, 2023) directly fuels demand for professional-grade welders. In Colombia Bogotá specifically, we observed:</w:t>
      </w:r>
    </w:p>
    <w:p>
      <w:pPr>
        <w:numPr>
          <w:ilvl w:val="0"/>
          <w:numId w:val="1001"/>
        </w:numPr>
        <w:pStyle w:val="Compact"/>
      </w:pPr>
      <w:r>
        <w:t xml:space="preserve">68% of surveyed industrial clients prioritized "durability in high-altitude conditions" as their top welder selection criterion</w:t>
      </w:r>
    </w:p>
    <w:p>
      <w:pPr>
        <w:numPr>
          <w:ilvl w:val="0"/>
          <w:numId w:val="1001"/>
        </w:numPr>
        <w:pStyle w:val="Compact"/>
      </w:pPr>
      <w:r>
        <w:t xml:space="preserve">2023 construction permits issued for metal-intensive projects (metro expansions, commercial towers) increased by 41% YoY</w:t>
      </w:r>
    </w:p>
    <w:p>
      <w:pPr>
        <w:numPr>
          <w:ilvl w:val="0"/>
          <w:numId w:val="1001"/>
        </w:numPr>
        <w:pStyle w:val="Compact"/>
      </w:pPr>
      <w:r>
        <w:t xml:space="preserve">Local regulations now mandate certified welding equipment for all public infrastructure work, eliminating low-cost imports from the market</w:t>
      </w:r>
    </w:p>
    <w:p>
      <w:pPr>
        <w:pStyle w:val="FirstParagraph"/>
      </w:pPr>
      <w:r>
        <w:t xml:space="preserve">This regulatory shift created a $28M opportunity specifically for certified welder solutions in Colombia Bogotá during Q3 2023. Our localized service network—featuring six certified technicians across Bogotá's industrial zones—proved critical in capturing this segment.</w:t>
      </w:r>
    </w:p>
    <w:bookmarkEnd w:id="21"/>
    <w:bookmarkStart w:id="22" w:name="product-performance-proweld-5000-series"/>
    <w:p>
      <w:pPr>
        <w:pStyle w:val="Heading2"/>
      </w:pPr>
      <w:r>
        <w:t xml:space="preserve">Product Performance: ProWeld 5000 Series</w:t>
      </w:r>
    </w:p>
    <w:p>
      <w:pPr>
        <w:pStyle w:val="FirstParagraph"/>
      </w:pPr>
      <w:r>
        <w:t xml:space="preserve">The ProWeld 5000 series, engineered for Bogotá's unique high-altitude environment (2,643m elevation), delivered outstanding results:</w:t>
      </w:r>
    </w:p>
    <w:p>
      <w:pPr>
        <w:pStyle w:val="BodyText"/>
      </w:pPr>
      <w:r>
        <w:t xml:space="preserve">Product Line</w:t>
      </w:r>
    </w:p>
    <w:p>
      <w:pPr>
        <w:pStyle w:val="BodyText"/>
      </w:pPr>
      <w:r>
        <w:t xml:space="preserve">Units Sold (Q3)</w:t>
      </w:r>
    </w:p>
    <w:p>
      <w:pPr>
        <w:pStyle w:val="BodyText"/>
      </w:pPr>
      <w:r>
        <w:t xml:space="preserve">Revenue Generated</w:t>
      </w:r>
    </w:p>
    <w:p>
      <w:pPr>
        <w:pStyle w:val="BodyText"/>
      </w:pPr>
      <w:r>
        <w:t xml:space="preserve">% Market Share (Bogotá)</w:t>
      </w:r>
    </w:p>
    <w:p>
      <w:pPr>
        <w:pStyle w:val="BodyText"/>
      </w:pPr>
      <w:r>
        <w:t xml:space="preserve">ProWeld 5000-ACDC Hybrid</w:t>
      </w:r>
    </w:p>
    <w:p>
      <w:pPr>
        <w:pStyle w:val="BodyText"/>
      </w:pPr>
      <w:r>
        <w:t xml:space="preserve">142 units</w:t>
      </w:r>
    </w:p>
    <w:p>
      <w:pPr>
        <w:pStyle w:val="BodyText"/>
      </w:pPr>
      <w:r>
        <w:t xml:space="preserve">$387,560</w:t>
      </w:r>
    </w:p>
    <w:p>
      <w:pPr>
        <w:pStyle w:val="BodyText"/>
      </w:pPr>
      <w:r>
        <w:t xml:space="preserve">34.2%</w:t>
      </w:r>
    </w:p>
    <w:p>
      <w:pPr>
        <w:pStyle w:val="BodyText"/>
      </w:pPr>
      <w:r>
        <w:t xml:space="preserve">ProWeld 5000-MIG Portable</w:t>
      </w:r>
    </w:p>
    <w:p>
      <w:pPr>
        <w:pStyle w:val="BodyText"/>
      </w:pPr>
      <w:r>
        <w:t xml:space="preserve">98 units</w:t>
      </w:r>
    </w:p>
    <w:p>
      <w:pPr>
        <w:pStyle w:val="BodyText"/>
      </w:pPr>
      <w:r>
        <w:t xml:space="preserve">$214,320</w:t>
      </w:r>
    </w:p>
    <w:p>
      <w:pPr>
        <w:pStyle w:val="BodyText"/>
      </w:pPr>
      <w:r>
        <w:t xml:space="preserve">$167,845</w:t>
      </w:r>
    </w:p>
    <w:p>
      <w:pPr>
        <w:pStyle w:val="BodyText"/>
      </w:pPr>
      <w:r>
        <w:t xml:space="preserve">The ACDC Hybrid model dominated due to its 25% energy efficiency gain in Bogotá's variable power grid conditions. Notably, all sales included our "Bogotá Certified Maintenance Package," which reduced downtime by 63% for clients—a key differentiator in Colombia's demanding industrial climate.</w:t>
      </w:r>
    </w:p>
    <w:bookmarkEnd w:id="22"/>
    <w:bookmarkStart w:id="23" w:name="X7e2518ef624fe0d816775845181d0de7002f886"/>
    <w:p>
      <w:pPr>
        <w:pStyle w:val="Heading2"/>
      </w:pPr>
      <w:r>
        <w:t xml:space="preserve">Customer Acquisition Strategy &amp; Client Testimonials</w:t>
      </w:r>
    </w:p>
    <w:p>
      <w:pPr>
        <w:pStyle w:val="FirstParagraph"/>
      </w:pPr>
      <w:r>
        <w:t xml:space="preserve">We implemented a hyper-localized approach in Colombia Bogotá, partnering with:</w:t>
      </w:r>
    </w:p>
    <w:p>
      <w:pPr>
        <w:numPr>
          <w:ilvl w:val="0"/>
          <w:numId w:val="1002"/>
        </w:numPr>
        <w:pStyle w:val="Compact"/>
      </w:pPr>
      <w:r>
        <w:rPr>
          <w:bCs/>
          <w:b/>
        </w:rPr>
        <w:t xml:space="preserve">Ciudad de la Industria Bogotá (CIB)</w:t>
      </w:r>
      <w:r>
        <w:t xml:space="preserve">: Exclusive vendor agreement for 12 construction firms</w:t>
      </w:r>
    </w:p>
    <w:p>
      <w:pPr>
        <w:numPr>
          <w:ilvl w:val="0"/>
          <w:numId w:val="1002"/>
        </w:numPr>
        <w:pStyle w:val="Compact"/>
      </w:pPr>
      <w:r>
        <w:rPr>
          <w:bCs/>
          <w:b/>
        </w:rPr>
        <w:t xml:space="preserve">Local Welding Guilds</w:t>
      </w:r>
      <w:r>
        <w:t xml:space="preserve">: Co-hosted 7 technical workshops addressing altitude welding challenges</w:t>
      </w:r>
    </w:p>
    <w:p>
      <w:pPr>
        <w:numPr>
          <w:ilvl w:val="0"/>
          <w:numId w:val="1002"/>
        </w:numPr>
        <w:pStyle w:val="Compact"/>
      </w:pPr>
      <w:r>
        <w:rPr>
          <w:bCs/>
          <w:b/>
        </w:rPr>
        <w:t xml:space="preserve">Government Procurement Channels</w:t>
      </w:r>
      <w:r>
        <w:t xml:space="preserve">: Successfully bid on 3 public works contracts exceeding $500K each</w:t>
      </w:r>
    </w:p>
    <w:p>
      <w:pPr>
        <w:pStyle w:val="FirstParagraph"/>
      </w:pPr>
      <w:r>
        <w:t xml:space="preserve">Client feedback underscores market acceptance:</w:t>
      </w:r>
    </w:p>
    <w:p>
      <w:pPr>
        <w:pStyle w:val="BlockText"/>
      </w:pPr>
      <w:r>
        <w:t xml:space="preserve">"The ProWeld 5000 handled Bogotá's high-altitude welding challenges we couldn't solve with previous imports. Their local service team repaired our equipment in 4 hours—unheard of before." – Maria Torres, Project Manager, MetroCable Expansion (Bogotá)</w:t>
      </w:r>
    </w:p>
    <w:p>
      <w:pPr>
        <w:pStyle w:val="BlockText"/>
      </w:pPr>
      <w:r>
        <w:t xml:space="preserve">"After two years of failed welder vendors, ProWeld's Colombia Bogotá certified technicians saved our $2M bridge project. Their understanding of local regulations is unmatched." – Carlos Mendez, Director at Inversiones Metállicas Ltda.</w:t>
      </w:r>
    </w:p>
    <w:bookmarkEnd w:id="23"/>
    <w:bookmarkStart w:id="24" w:name="challenges-adaptive-solutions"/>
    <w:p>
      <w:pPr>
        <w:pStyle w:val="Heading2"/>
      </w:pPr>
      <w:r>
        <w:t xml:space="preserve">Challenges &amp; Adaptive Solutions</w:t>
      </w:r>
    </w:p>
    <w:p>
      <w:pPr>
        <w:pStyle w:val="FirstParagraph"/>
      </w:pPr>
      <w:r>
        <w:t xml:space="preserve">Initial market entry faced hurdles specific to Colombia Bogotá:</w:t>
      </w:r>
    </w:p>
    <w:p>
      <w:pPr>
        <w:numPr>
          <w:ilvl w:val="0"/>
          <w:numId w:val="1003"/>
        </w:numPr>
        <w:pStyle w:val="Compact"/>
      </w:pPr>
      <w:r>
        <w:rPr>
          <w:bCs/>
          <w:b/>
        </w:rPr>
        <w:t xml:space="preserve">Logistical Hurdles</w:t>
      </w:r>
      <w:r>
        <w:t xml:space="preserve">: High-altitude shipping costs (32% above sea level rates). *Solution: Partnered with Bogotá-based logistics firm "Andes Transport" for 17% cost reduction.</w:t>
      </w:r>
    </w:p>
    <w:p>
      <w:pPr>
        <w:numPr>
          <w:ilvl w:val="0"/>
          <w:numId w:val="1003"/>
        </w:numPr>
        <w:pStyle w:val="Compact"/>
      </w:pPr>
      <w:r>
        <w:rPr>
          <w:bCs/>
          <w:b/>
        </w:rPr>
        <w:t xml:space="preserve">Regulatory Complexity</w:t>
      </w:r>
      <w:r>
        <w:t xml:space="preserve">: Confusion around Colombian welding certifications. *Solution: Developed Colombia-specific certification guide distributed to all clients in Q2 2023.</w:t>
      </w:r>
    </w:p>
    <w:p>
      <w:pPr>
        <w:numPr>
          <w:ilvl w:val="0"/>
          <w:numId w:val="1003"/>
        </w:numPr>
        <w:pStyle w:val="Compact"/>
      </w:pPr>
      <w:r>
        <w:rPr>
          <w:bCs/>
          <w:b/>
        </w:rPr>
        <w:t xml:space="preserve">Competitive Pressure</w:t>
      </w:r>
      <w:r>
        <w:t xml:space="preserve">: Local brands offered 15% lower prices but lacked technical support. *Solution: Launched "Welder Care Guarantee" with same-day service coverage across Bogotá's key zones.</w:t>
      </w:r>
    </w:p>
    <w:bookmarkEnd w:id="24"/>
    <w:bookmarkStart w:id="25" w:name="financial-impact-roi-in-colombia-bogotá"/>
    <w:p>
      <w:pPr>
        <w:pStyle w:val="Heading2"/>
      </w:pPr>
      <w:r>
        <w:t xml:space="preserve">Financial Impact &amp; ROI in Colombia Bogotá</w:t>
      </w:r>
    </w:p>
    <w:p>
      <w:pPr>
        <w:pStyle w:val="FirstParagraph"/>
      </w:pPr>
      <w:r>
        <w:t xml:space="preserve">The investment in localized operations yielded strong returns:</w:t>
      </w:r>
    </w:p>
    <w:p>
      <w:pPr>
        <w:numPr>
          <w:ilvl w:val="0"/>
          <w:numId w:val="1004"/>
        </w:numPr>
        <w:pStyle w:val="Compact"/>
      </w:pPr>
      <w:r>
        <w:t xml:space="preserve">37% revenue growth from Welder sales vs. Q2 2023</w:t>
      </w:r>
    </w:p>
    <w:p>
      <w:pPr>
        <w:numPr>
          <w:ilvl w:val="0"/>
          <w:numId w:val="1004"/>
        </w:numPr>
        <w:pStyle w:val="Compact"/>
      </w:pPr>
      <w:r>
        <w:t xml:space="preserve">CAC (Customer Acquisition Cost) reduced by 49% through strategic partnerships with CIB</w:t>
      </w:r>
    </w:p>
    <w:p>
      <w:pPr>
        <w:numPr>
          <w:ilvl w:val="0"/>
          <w:numId w:val="1004"/>
        </w:numPr>
        <w:pStyle w:val="Compact"/>
      </w:pPr>
      <w:r>
        <w:t xml:space="preserve">Net promoter score (NPS) for Colombia Bogotá clients: 78 (industry avg: 41)</w:t>
      </w:r>
    </w:p>
    <w:p>
      <w:pPr>
        <w:pStyle w:val="FirstParagraph"/>
      </w:pPr>
      <w:r>
        <w:t xml:space="preserve">Notably, repeat customers accounted for 58% of Q3 sales—proof of deep market integration. The average customer lifetime value in Bogotá now exceeds $12,400, up from $7,800 in Q1 2023.</w:t>
      </w:r>
    </w:p>
    <w:bookmarkEnd w:id="25"/>
    <w:bookmarkStart w:id="26" w:name="Xd1dea68000653645d2fd30bb083a54dffc01543"/>
    <w:p>
      <w:pPr>
        <w:pStyle w:val="Heading2"/>
      </w:pPr>
      <w:r>
        <w:t xml:space="preserve">Future Outlook: Strategic Expansion in Colombia Bogotá</w:t>
      </w:r>
    </w:p>
    <w:p>
      <w:pPr>
        <w:pStyle w:val="FirstParagraph"/>
      </w:pPr>
      <w:r>
        <w:t xml:space="preserve">Based on Q3 performance, we project:</w:t>
      </w:r>
    </w:p>
    <w:p>
      <w:pPr>
        <w:numPr>
          <w:ilvl w:val="0"/>
          <w:numId w:val="1005"/>
        </w:numPr>
        <w:pStyle w:val="Compact"/>
      </w:pPr>
      <w:r>
        <w:t xml:space="preserve">89% market share growth in Colombia's high-altitude welding segment by Q1 2024</w:t>
      </w:r>
    </w:p>
    <w:p>
      <w:pPr>
        <w:numPr>
          <w:ilvl w:val="0"/>
          <w:numId w:val="1005"/>
        </w:numPr>
        <w:pStyle w:val="Compact"/>
      </w:pPr>
      <w:r>
        <w:t xml:space="preserve">Expansion into Medellín via Bogotá hub (leveraging established service network)</w:t>
      </w:r>
    </w:p>
    <w:p>
      <w:pPr>
        <w:numPr>
          <w:ilvl w:val="0"/>
          <w:numId w:val="1005"/>
        </w:numPr>
        <w:pStyle w:val="Compact"/>
      </w:pPr>
      <w:r>
        <w:t xml:space="preserve">Pilot program for AI-assisted welder diagnostics targeting the $1.3B Colombian steel industry</w:t>
      </w:r>
    </w:p>
    <w:p>
      <w:pPr>
        <w:pStyle w:val="FirstParagraph"/>
      </w:pPr>
      <w:r>
        <w:t xml:space="preserve">Our roadmap includes establishing a dedicated Bogotá R&amp;D center focused on altitude-specific welding innovations—addressing Colombia's unique environmental challenges while scaling operations nationally.</w:t>
      </w:r>
    </w:p>
    <w:bookmarkEnd w:id="26"/>
    <w:bookmarkStart w:id="27" w:name="conclusion"/>
    <w:p>
      <w:pPr>
        <w:pStyle w:val="Heading2"/>
      </w:pPr>
      <w:r>
        <w:t xml:space="preserve">Conclusion</w:t>
      </w:r>
    </w:p>
    <w:p>
      <w:pPr>
        <w:pStyle w:val="FirstParagraph"/>
      </w:pPr>
      <w:r>
        <w:t xml:space="preserve">This Sales Report confirms that strategic localization of our welder solutions has transformed our market position in Colombia Bogotá. By addressing high-altitude performance requirements, regulatory complexities, and service expectations through a Bogotá-first approach, we've built sustainable growth. The ProWeld 5000 series isn't merely selling equipment—it's enabling Colombia's infrastructure revolution while delivering exceptional ROI for our partners.</w:t>
      </w:r>
    </w:p>
    <w:p>
      <w:pPr>
        <w:pStyle w:val="BodyText"/>
      </w:pPr>
      <w:r>
        <w:t xml:space="preserve">As Bogotá continues its trajectory as South America's industrial powerhouse, our welder solutions are positioned to be the backbone of the city's physical transformation. The data is clear: in Colombia Bogotá, certified welding excellence isn't just a product—it's the engine of progress.</w:t>
      </w:r>
    </w:p>
    <w:p>
      <w:pPr>
        <w:pStyle w:val="BodyText"/>
      </w:pPr>
      <w:r>
        <w:rPr>
          <w:bCs/>
          <w:b/>
        </w:rPr>
        <w:t xml:space="preserve">Prepared By:</w:t>
      </w:r>
      <w:r>
        <w:t xml:space="preserve"> </w:t>
      </w:r>
      <w:r>
        <w:t xml:space="preserve">Latin America Sales Operations Team |</w:t>
      </w:r>
      <w:r>
        <w:t xml:space="preserve"> </w:t>
      </w:r>
      <w:r>
        <w:rPr>
          <w:bCs/>
          <w:b/>
        </w:rPr>
        <w:t xml:space="preserve">Verified By:</w:t>
      </w:r>
      <w:r>
        <w:t xml:space="preserve"> </w:t>
      </w:r>
      <w:r>
        <w:t xml:space="preserve">Regional Director, Andes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Solutions in Colombia Bogotá</dc:title>
  <dc:creator/>
  <dc:language>en</dc:language>
  <cp:keywords/>
  <dcterms:created xsi:type="dcterms:W3CDTF">2026-07-23T14:50:29Z</dcterms:created>
  <dcterms:modified xsi:type="dcterms:W3CDTF">2026-07-23T14:50:29Z</dcterms:modified>
</cp:coreProperties>
</file>

<file path=docProps/custom.xml><?xml version="1.0" encoding="utf-8"?>
<Properties xmlns="http://schemas.openxmlformats.org/officeDocument/2006/custom-properties" xmlns:vt="http://schemas.openxmlformats.org/officeDocument/2006/docPropsVTypes"/>
</file>