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7" w:name="Xfdfb5f14b61783c6782835770d77bf74a62af35"/>
    <w:p>
      <w:pPr>
        <w:pStyle w:val="Heading1"/>
      </w:pPr>
      <w:r>
        <w:t xml:space="preserve">Comprehensive Sales Report: Premium Welder Market Analysis for Germany Berlin (Q1-Q3 2023)</w:t>
      </w:r>
    </w:p>
    <w:bookmarkStart w:id="20" w:name="executive-summary"/>
    <w:p>
      <w:pPr>
        <w:pStyle w:val="Heading2"/>
      </w:pPr>
      <w:r>
        <w:t xml:space="preserve">Executive Summary</w:t>
      </w:r>
    </w:p>
    <w:p>
      <w:pPr>
        <w:pStyle w:val="FirstParagraph"/>
      </w:pPr>
      <w:r>
        <w:t xml:space="preserve">This official Sales Report details the performance of our flagship "ProWeld 5000" industrial welder across the demanding German market, with particular focus on the high-volume Berlin metropolitan region. As a leading provider of precision welding solutions, our strategic pivot toward Germany Berlin has yielded exceptional results, with sales surging by 142% year-over-year in this critical market. This report confirms that our advanced arc welding technology has become indispensable for Berlin's manufacturing and infrastructure sectors, solidifying our position as the preferred welder supplier in Germany's capital city.</w:t>
      </w:r>
    </w:p>
    <w:bookmarkEnd w:id="20"/>
    <w:bookmarkStart w:id="21" w:name="X859bd7e8f036a9814dd2ba616e57c042175226e"/>
    <w:p>
      <w:pPr>
        <w:pStyle w:val="Heading2"/>
      </w:pPr>
      <w:r>
        <w:t xml:space="preserve">Market Context: Welder Demand in Germany Berlin</w:t>
      </w:r>
    </w:p>
    <w:p>
      <w:pPr>
        <w:pStyle w:val="FirstParagraph"/>
      </w:pPr>
      <w:r>
        <w:t xml:space="preserve">Germany Berlin represents a dynamic economic hub where industrial growth intersects with stringent EU safety standards. The city's automotive retooling projects, renewable energy infrastructure development, and historic building restoration initiatives have created unprecedented demand for high-precision welding equipment. According to the German Welding Society (DVS), Berlin alone accounts for 18% of all industrial welder purchases in Germany. This Sales Report identifies three key drivers:</w:t>
      </w:r>
    </w:p>
    <w:p>
      <w:pPr>
        <w:numPr>
          <w:ilvl w:val="0"/>
          <w:numId w:val="1001"/>
        </w:numPr>
        <w:pStyle w:val="Compact"/>
      </w:pPr>
      <w:r>
        <w:rPr>
          <w:bCs/>
          <w:b/>
        </w:rPr>
        <w:t xml:space="preserve">Infrastructure Modernization:</w:t>
      </w:r>
      <w:r>
        <w:t xml:space="preserve"> </w:t>
      </w:r>
      <w:r>
        <w:t xml:space="preserve">Berlin's €50 billion public transport expansion (including U-Bahn upgrades) requires continuous welding services</w:t>
      </w:r>
    </w:p>
    <w:p>
      <w:pPr>
        <w:numPr>
          <w:ilvl w:val="0"/>
          <w:numId w:val="1001"/>
        </w:numPr>
        <w:pStyle w:val="Compact"/>
      </w:pPr>
      <w:r>
        <w:rPr>
          <w:bCs/>
          <w:b/>
        </w:rPr>
        <w:t xml:space="preserve">Eco-Industry Growth:</w:t>
      </w:r>
      <w:r>
        <w:t xml:space="preserve"> </w:t>
      </w:r>
      <w:r>
        <w:t xml:space="preserve">37 new solar farm installations across Brandenburg and Berlin demand specialized welder equipment</w:t>
      </w:r>
    </w:p>
    <w:p>
      <w:pPr>
        <w:numPr>
          <w:ilvl w:val="0"/>
          <w:numId w:val="1001"/>
        </w:numPr>
        <w:pStyle w:val="Compact"/>
      </w:pPr>
      <w:r>
        <w:rPr>
          <w:bCs/>
          <w:b/>
        </w:rPr>
        <w:t xml:space="preserve">Manufacturing Resilience:</w:t>
      </w:r>
      <w:r>
        <w:t xml:space="preserve"> </w:t>
      </w:r>
      <w:r>
        <w:t xml:space="preserve">Berlin's automotive component suppliers increased welding capacity by 29% to support local production of EV batteries</w:t>
      </w:r>
    </w:p>
    <w:bookmarkEnd w:id="21"/>
    <w:bookmarkStart w:id="22" w:name="X781a86b4242ee086721899a86168f8c0f30f11b"/>
    <w:p>
      <w:pPr>
        <w:pStyle w:val="Heading2"/>
      </w:pPr>
      <w:r>
        <w:t xml:space="preserve">Sales Performance Breakdown: Germany Berlin Market (Q1-Q3 2023)</w:t>
      </w:r>
    </w:p>
    <w:p>
      <w:pPr>
        <w:pStyle w:val="FirstParagraph"/>
      </w:pPr>
      <w:r>
        <w:t xml:space="preserve">Our Sales Report reveals record-breaking achievements in Berlin, where the ProWeld 5000 has captured 34% market share against competitors. Key metrics include:</w:t>
      </w:r>
    </w:p>
    <w:p>
      <w:pPr>
        <w:pStyle w:val="BodyText"/>
      </w:pPr>
      <w:r>
        <w:t xml:space="preserve">Metrics</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Growth vs. Prior Year</w:t>
      </w:r>
    </w:p>
    <w:p>
      <w:pPr>
        <w:pStyle w:val="BodyText"/>
      </w:pPr>
      <w:r>
        <w:t xml:space="preserve">Sales Volume (Units)</w:t>
      </w:r>
    </w:p>
    <w:p>
      <w:pPr>
        <w:pStyle w:val="BodyText"/>
      </w:pPr>
      <w:r>
        <w:t xml:space="preserve">147 units</w:t>
      </w:r>
    </w:p>
    <w:p>
      <w:pPr>
        <w:pStyle w:val="BodyText"/>
      </w:pPr>
      <w:r>
        <w:t xml:space="preserve">198 units</w:t>
      </w:r>
    </w:p>
    <w:p>
      <w:pPr>
        <w:pStyle w:val="BodyText"/>
      </w:pPr>
      <w:r>
        <w:t xml:space="preserve">285 units</w:t>
      </w:r>
    </w:p>
    <w:p>
      <w:pPr>
        <w:pStyle w:val="BodyText"/>
      </w:pPr>
      <w:r>
        <w:t xml:space="preserve">+142%</w:t>
      </w:r>
    </w:p>
    <w:p>
      <w:pPr>
        <w:pStyle w:val="BodyText"/>
      </w:pPr>
      <w:r>
        <w:t xml:space="preserve">Average Deal Size (€)</w:t>
      </w:r>
    </w:p>
    <w:p>
      <w:pPr>
        <w:pStyle w:val="BodyText"/>
      </w:pPr>
      <w:r>
        <w:t xml:space="preserve">€24,600</w:t>
      </w:r>
    </w:p>
    <w:p>
      <w:pPr>
        <w:pStyle w:val="BodyText"/>
      </w:pPr>
      <w:r>
        <w:t xml:space="preserve">Total Revenue (Berlin)</w:t>
      </w:r>
    </w:p>
    <w:p>
      <w:pPr>
        <w:pStyle w:val="BodyText"/>
      </w:pPr>
      <w:r>
        <w:t xml:space="preserve">€7.01M</w:t>
      </w:r>
    </w:p>
    <w:p>
      <w:pPr>
        <w:pStyle w:val="BodyText"/>
      </w:pPr>
      <w:r>
        <w:t xml:space="preserve">Customer Acquisition Cost</w:t>
      </w:r>
    </w:p>
    <w:p>
      <w:pPr>
        <w:pStyle w:val="BodyText"/>
      </w:pPr>
      <w:r>
        <w:t xml:space="preserve">€8,950</w:t>
      </w:r>
    </w:p>
    <w:p>
      <w:pPr>
        <w:pStyle w:val="BodyText"/>
      </w:pPr>
      <w:r>
        <w:t xml:space="preserve">€7,420</w:t>
      </w:r>
    </w:p>
    <w:p>
      <w:pPr>
        <w:pStyle w:val="BodyText"/>
      </w:pPr>
      <w:r>
        <w:t xml:space="preserve">€6,180</w:t>
      </w:r>
    </w:p>
    <w:p>
      <w:pPr>
        <w:pStyle w:val="BodyText"/>
      </w:pPr>
      <w:r>
        <w:t xml:space="preserve">-31%</w:t>
      </w:r>
    </w:p>
    <w:p>
      <w:pPr>
        <w:pStyle w:val="BodyText"/>
      </w:pPr>
      <w:r>
        <w:t xml:space="preserve">The strategic deployment of our Berlin-based technical support team (now 12 certified engineers) directly contributed to a 92% customer retention rate and 4.7/5 average satisfaction score in post-sale surveys. Notable contracts include:</w:t>
      </w:r>
    </w:p>
    <w:p>
      <w:pPr>
        <w:numPr>
          <w:ilvl w:val="0"/>
          <w:numId w:val="1002"/>
        </w:numPr>
        <w:pStyle w:val="Compact"/>
      </w:pPr>
      <w:r>
        <w:t xml:space="preserve">€1.8M supply contract with Siemens Mobility for Berlin U-Bahn modernization</w:t>
      </w:r>
    </w:p>
    <w:p>
      <w:pPr>
        <w:numPr>
          <w:ilvl w:val="0"/>
          <w:numId w:val="1002"/>
        </w:numPr>
        <w:pStyle w:val="Compact"/>
      </w:pPr>
      <w:r>
        <w:t xml:space="preserve">€950K partnership with Berliner Verkehrsbetriebe (BVG) for tram network repairs</w:t>
      </w:r>
    </w:p>
    <w:p>
      <w:pPr>
        <w:numPr>
          <w:ilvl w:val="0"/>
          <w:numId w:val="1002"/>
        </w:numPr>
        <w:pStyle w:val="Compact"/>
      </w:pPr>
      <w:r>
        <w:t xml:space="preserve">37 new SME contracts with automotive suppliers in the Potsdam-Berlin corridor</w:t>
      </w:r>
    </w:p>
    <w:bookmarkEnd w:id="22"/>
    <w:bookmarkStart w:id="23" w:name="X736b2d1c90d2f488e05a572855831ccc246c4b7"/>
    <w:p>
      <w:pPr>
        <w:pStyle w:val="Heading2"/>
      </w:pPr>
      <w:r>
        <w:t xml:space="preserve">Competitive Positioning: Why Our Welder Dominates Germany Berlin</w:t>
      </w:r>
    </w:p>
    <w:p>
      <w:pPr>
        <w:pStyle w:val="FirstParagraph"/>
      </w:pPr>
      <w:r>
        <w:t xml:space="preserve">This Sales Report identifies three decisive advantages of our ProWeld 5000 over competing welders in Berlin's market:</w:t>
      </w:r>
    </w:p>
    <w:p>
      <w:pPr>
        <w:numPr>
          <w:ilvl w:val="0"/>
          <w:numId w:val="1003"/>
        </w:numPr>
        <w:pStyle w:val="Compact"/>
      </w:pPr>
      <w:r>
        <w:rPr>
          <w:bCs/>
          <w:b/>
        </w:rPr>
        <w:t xml:space="preserve">German Engineering Compliance:</w:t>
      </w:r>
      <w:r>
        <w:t xml:space="preserve"> </w:t>
      </w:r>
      <w:r>
        <w:t xml:space="preserve">Certified to DIN EN ISO 14731 (German welding standard), a non-negotiable requirement for all public infrastructure projects. Competitors' machines frequently require costly recalibration for Berlin municipal contracts.</w:t>
      </w:r>
    </w:p>
    <w:p>
      <w:pPr>
        <w:numPr>
          <w:ilvl w:val="0"/>
          <w:numId w:val="1003"/>
        </w:numPr>
        <w:pStyle w:val="Compact"/>
      </w:pPr>
      <w:r>
        <w:rPr>
          <w:bCs/>
          <w:b/>
        </w:rPr>
        <w:t xml:space="preserve">Localized Support Network:</w:t>
      </w:r>
      <w:r>
        <w:t xml:space="preserve"> </w:t>
      </w:r>
      <w:r>
        <w:t xml:space="preserve">Our Berlin service center (opened Q2 2023) reduced average repair time from 7 days to 19 hours – a critical differentiator in manufacturing-heavy sectors like automotive component production.</w:t>
      </w:r>
    </w:p>
    <w:p>
      <w:pPr>
        <w:numPr>
          <w:ilvl w:val="0"/>
          <w:numId w:val="1003"/>
        </w:numPr>
        <w:pStyle w:val="Compact"/>
      </w:pPr>
      <w:r>
        <w:rPr>
          <w:bCs/>
          <w:b/>
        </w:rPr>
        <w:t xml:space="preserve">Eco-Optimized Performance:</w:t>
      </w:r>
      <w:r>
        <w:t xml:space="preserve"> </w:t>
      </w:r>
      <w:r>
        <w:t xml:space="preserve">The ProWeld 5000 uses 41% less energy than competitors while maintaining weld integrity for Berlin's demanding low-temperature operations (critical for winter infrastructure work).</w:t>
      </w:r>
    </w:p>
    <w:bookmarkEnd w:id="23"/>
    <w:bookmarkStart w:id="24" w:name="X6f008a2fc760337bfef76c79ec62bf3d1a06c83"/>
    <w:p>
      <w:pPr>
        <w:pStyle w:val="Heading2"/>
      </w:pPr>
      <w:r>
        <w:t xml:space="preserve">Challenges and Strategic Response in Germany Berlin</w:t>
      </w:r>
    </w:p>
    <w:p>
      <w:pPr>
        <w:pStyle w:val="FirstParagraph"/>
      </w:pPr>
      <w:r>
        <w:t xml:space="preserve">Despite strong performance, our Sales Report documents two significant challenges unique to the Germany Berlin market:</w:t>
      </w:r>
    </w:p>
    <w:p>
      <w:pPr>
        <w:numPr>
          <w:ilvl w:val="0"/>
          <w:numId w:val="1004"/>
        </w:numPr>
        <w:pStyle w:val="Compact"/>
      </w:pPr>
      <w:r>
        <w:rPr>
          <w:bCs/>
          <w:b/>
        </w:rPr>
        <w:t xml:space="preserve">Certification Complexity:</w:t>
      </w:r>
      <w:r>
        <w:t xml:space="preserve"> </w:t>
      </w:r>
      <w:r>
        <w:t xml:space="preserve">Berlin's stringent building codes required additional validation for historic restoration projects. Our response: Partnered with TU Berlin's Engineering Institute for joint certification – accelerating project approvals by 63%.</w:t>
      </w:r>
    </w:p>
    <w:p>
      <w:pPr>
        <w:numPr>
          <w:ilvl w:val="0"/>
          <w:numId w:val="1004"/>
        </w:numPr>
        <w:pStyle w:val="Compact"/>
      </w:pPr>
      <w:r>
        <w:rPr>
          <w:bCs/>
          <w:b/>
        </w:rPr>
        <w:t xml:space="preserve">Local Competition Pressure:</w:t>
      </w:r>
      <w:r>
        <w:t xml:space="preserve"> </w:t>
      </w:r>
      <w:r>
        <w:t xml:space="preserve">German manufacturers like ESAB and Fronius aggressively undercut pricing in the mid-tier segment. Our countermeasure: Bundled our ProWeld 5000 with Berlin-specific services (e.g., "Winter Welding Guarantee" for -15°C operations) increasing average transaction value by €3,800.</w:t>
      </w:r>
    </w:p>
    <w:bookmarkEnd w:id="24"/>
    <w:bookmarkStart w:id="25" w:name="X750493399027a1b3381ec1a2cfc079a367c7348"/>
    <w:p>
      <w:pPr>
        <w:pStyle w:val="Heading2"/>
      </w:pPr>
      <w:r>
        <w:t xml:space="preserve">Future Outlook: Germany Berlin Market Expansion</w:t>
      </w:r>
    </w:p>
    <w:p>
      <w:pPr>
        <w:pStyle w:val="FirstParagraph"/>
      </w:pPr>
      <w:r>
        <w:t xml:space="preserve">Based on current trends documented in this Sales Report, we project a 78% increase in welder demand across Berlin by 2024 due to:</w:t>
      </w:r>
    </w:p>
    <w:p>
      <w:pPr>
        <w:numPr>
          <w:ilvl w:val="0"/>
          <w:numId w:val="1005"/>
        </w:numPr>
        <w:pStyle w:val="Compact"/>
      </w:pPr>
      <w:r>
        <w:t xml:space="preserve">The EU Green Deal infrastructure mandate requiring welding for new wind turbine farms near Berlin</w:t>
      </w:r>
    </w:p>
    <w:p>
      <w:pPr>
        <w:numPr>
          <w:ilvl w:val="0"/>
          <w:numId w:val="1005"/>
        </w:numPr>
        <w:pStyle w:val="Compact"/>
      </w:pPr>
      <w:r>
        <w:t xml:space="preserve">Increased government subsidies (up to 30%) for manufacturers adopting "German-made" welding equipment</w:t>
      </w:r>
    </w:p>
    <w:p>
      <w:pPr>
        <w:numPr>
          <w:ilvl w:val="0"/>
          <w:numId w:val="1005"/>
        </w:numPr>
        <w:pStyle w:val="Compact"/>
      </w:pPr>
      <w:r>
        <w:t xml:space="preserve">Emerging demand from Berlin's startup ecosystem (e.g., electric aircraft components at Brandenburg Airport)</w:t>
      </w:r>
    </w:p>
    <w:p>
      <w:pPr>
        <w:pStyle w:val="FirstParagraph"/>
      </w:pPr>
      <w:r>
        <w:t xml:space="preserve">We recommend three strategic initiatives for sustained growth in Germany Berlin:</w:t>
      </w:r>
    </w:p>
    <w:p>
      <w:pPr>
        <w:numPr>
          <w:ilvl w:val="0"/>
          <w:numId w:val="1006"/>
        </w:numPr>
        <w:pStyle w:val="Compact"/>
      </w:pPr>
      <w:r>
        <w:rPr>
          <w:bCs/>
          <w:b/>
        </w:rPr>
        <w:t xml:space="preserve">Establish Berlin Innovation Hub:</w:t>
      </w:r>
      <w:r>
        <w:t xml:space="preserve"> </w:t>
      </w:r>
      <w:r>
        <w:t xml:space="preserve">Develop a dedicated R&amp;D lab at the former Siemens factory site to co-create welder solutions for Berlin-specific challenges (e.g., historic monument restoration)</w:t>
      </w:r>
    </w:p>
    <w:p>
      <w:pPr>
        <w:numPr>
          <w:ilvl w:val="0"/>
          <w:numId w:val="1006"/>
        </w:numPr>
        <w:pStyle w:val="Compact"/>
      </w:pPr>
      <w:r>
        <w:rPr>
          <w:bCs/>
          <w:b/>
        </w:rPr>
        <w:t xml:space="preserve">Leverage Municipal Partnerships:</w:t>
      </w:r>
      <w:r>
        <w:t xml:space="preserve"> </w:t>
      </w:r>
      <w:r>
        <w:t xml:space="preserve">Secure framework agreement with Berlin's Wirtschaftsamt (Economic Office) for priority access to city infrastructure tenders</w:t>
      </w:r>
    </w:p>
    <w:p>
      <w:pPr>
        <w:numPr>
          <w:ilvl w:val="0"/>
          <w:numId w:val="1006"/>
        </w:numPr>
        <w:pStyle w:val="Compact"/>
      </w:pPr>
      <w:r>
        <w:rPr>
          <w:bCs/>
          <w:b/>
        </w:rPr>
        <w:t xml:space="preserve">Expand Service Network:</w:t>
      </w:r>
      <w:r>
        <w:t xml:space="preserve"> </w:t>
      </w:r>
      <w:r>
        <w:t xml:space="preserve">Add 5 mobile repair units across Berlin boroughs by Q1 2024 to address the 37% of customers citing "service accessibility" as a top concern</w:t>
      </w:r>
    </w:p>
    <w:bookmarkEnd w:id="25"/>
    <w:bookmarkStart w:id="26" w:name="conclusion-the-berlin-welder-imperative"/>
    <w:p>
      <w:pPr>
        <w:pStyle w:val="Heading2"/>
      </w:pPr>
      <w:r>
        <w:t xml:space="preserve">Conclusion: The Berlin Welder Imperative</w:t>
      </w:r>
    </w:p>
    <w:p>
      <w:pPr>
        <w:pStyle w:val="FirstParagraph"/>
      </w:pPr>
      <w:r>
        <w:t xml:space="preserve">This comprehensive Sales Report unequivocally demonstrates that our ProWeld 5000 has transformed from a product to an essential infrastructure asset in Germany Berlin. The city's unique blend of industrial heritage, modern eco-ambitions, and regulatory complexity demands welding solutions with unmatched local intelligence – precisely what our welder delivers. With Berlin accounting for 22% of our global sales and projected to grow at 31% CAGR through 2025, this market is no longer just important; it's the strategic heart of our European expansion. As we continue to invest in Berlin-specific innovation, we remain committed to delivering not just welders – but precision-engineered solutions that build Germany's future.</w:t>
      </w:r>
    </w:p>
    <w:p>
      <w:pPr>
        <w:pStyle w:val="BodyText"/>
      </w:pPr>
      <w:r>
        <w:rPr>
          <w:bCs/>
          <w:b/>
        </w:rPr>
        <w:t xml:space="preserve">Prepared for: Executive Leadership Team | Date: October 26, 2023 | Sales Report Reference #DE-BER-WL-2023-Q3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Product Performance in Germany Berlin</dc:title>
  <dc:creator/>
  <dc:language>en</dc:language>
  <cp:keywords/>
  <dcterms:created xsi:type="dcterms:W3CDTF">2026-07-21T06:31:17Z</dcterms:created>
  <dcterms:modified xsi:type="dcterms:W3CDTF">2026-07-21T06:31:17Z</dcterms:modified>
</cp:coreProperties>
</file>

<file path=docProps/custom.xml><?xml version="1.0" encoding="utf-8"?>
<Properties xmlns="http://schemas.openxmlformats.org/officeDocument/2006/custom-properties" xmlns:vt="http://schemas.openxmlformats.org/officeDocument/2006/docPropsVTypes"/>
</file>