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Germany</w:t>
      </w:r>
      <w:r>
        <w:t xml:space="preserve"> </w:t>
      </w:r>
      <w:r>
        <w:t xml:space="preserve">Munich</w:t>
      </w:r>
      <w:r>
        <w:t xml:space="preserve"> </w:t>
      </w:r>
      <w:r>
        <w:t xml:space="preserve">Market</w:t>
      </w:r>
    </w:p>
    <w:bookmarkStart w:id="27" w:name="X7d566041282e951998e67e3ad4b053c71e8fd93"/>
    <w:p>
      <w:pPr>
        <w:pStyle w:val="Heading1"/>
      </w:pPr>
      <w:r>
        <w:t xml:space="preserve">Comprehensive Sales Report: Advanced Welding Equipment Performance in Munich, Germany</w:t>
      </w:r>
    </w:p>
    <w:bookmarkStart w:id="20" w:name="executive-summary"/>
    <w:p>
      <w:pPr>
        <w:pStyle w:val="Heading2"/>
      </w:pPr>
      <w:r>
        <w:t xml:space="preserve">Executive Summary</w:t>
      </w:r>
    </w:p>
    <w:p>
      <w:pPr>
        <w:pStyle w:val="FirstParagraph"/>
      </w:pPr>
      <w:r>
        <w:t xml:space="preserve">This official Sales Report details the performance of our premium welding equipment portfolio across the Munich metropolitan region, Germany's premier industrial and engineering hub. The report confirms exceptional market penetration for our flagship "PrecisionArc" welder series, achieving a 32% year-over-year revenue growth in Germany Munich during Q1-Q3 2023. Our strategic focus on high-precision welding solutions has positioned us as the preferred supplier for Bavarian automotive manufacturers, aerospace contractors, and renewable energy infrastructure projects. This document substantiates how our specialized welder technology meets the exacting demands of Munich's engineering ecosystem while adhering to stringent German DIN standards.</w:t>
      </w:r>
    </w:p>
    <w:bookmarkEnd w:id="20"/>
    <w:bookmarkStart w:id="21" w:name="X28a2d79469ecbeac0330f5241bfdef5dcc64fd2"/>
    <w:p>
      <w:pPr>
        <w:pStyle w:val="Heading2"/>
      </w:pPr>
      <w:r>
        <w:t xml:space="preserve">Market Analysis: Germany Munich Industrial Landscape</w:t>
      </w:r>
    </w:p>
    <w:p>
      <w:pPr>
        <w:pStyle w:val="FirstParagraph"/>
      </w:pPr>
      <w:r>
        <w:t xml:space="preserve">Munich represents a critical growth corridor for industrial machinery sales, with the region contributing 18% of Germany's total manufacturing output. The city hosts over 150 high-tech engineering firms requiring precision welding solutions, including BMW Group's advanced production facilities (Landshut), Siemens Mobility (Munich), and leading renewable energy developers. Our market research indicates a €47M annual demand for industrial welders in Munich alone, driven by three key trends:</w:t>
      </w:r>
    </w:p>
    <w:p>
      <w:pPr>
        <w:numPr>
          <w:ilvl w:val="0"/>
          <w:numId w:val="1001"/>
        </w:numPr>
        <w:pStyle w:val="Compact"/>
      </w:pPr>
      <w:r>
        <w:t xml:space="preserve">Electrification of automotive manufacturing (35% growth in spot welding requirements)</w:t>
      </w:r>
    </w:p>
    <w:p>
      <w:pPr>
        <w:numPr>
          <w:ilvl w:val="0"/>
          <w:numId w:val="1001"/>
        </w:numPr>
        <w:pStyle w:val="Compact"/>
      </w:pPr>
      <w:r>
        <w:t xml:space="preserve">Expansion of green hydrogen infrastructure projects requiring high-purity welds</w:t>
      </w:r>
    </w:p>
    <w:p>
      <w:pPr>
        <w:numPr>
          <w:ilvl w:val="0"/>
          <w:numId w:val="1001"/>
        </w:numPr>
        <w:pStyle w:val="Compact"/>
      </w:pPr>
      <w:r>
        <w:t xml:space="preserve">Stricter EU emissions regulations mandating advanced fabrication techniques</w:t>
      </w:r>
    </w:p>
    <w:bookmarkEnd w:id="21"/>
    <w:bookmarkStart w:id="22" w:name="Xb6bcb42cc06af0d0cada98a1d5f2d5e29a0f0bf"/>
    <w:p>
      <w:pPr>
        <w:pStyle w:val="Heading2"/>
      </w:pPr>
      <w:r>
        <w:t xml:space="preserve">Sales Performance Breakdown: Germany Munich Segment</w:t>
      </w:r>
    </w:p>
    <w:p>
      <w:pPr>
        <w:pStyle w:val="FirstParagraph"/>
      </w:pPr>
      <w:r>
        <w:t xml:space="preserve">The Sales Report highlights remarkable achievements in the Munich market:</w:t>
      </w:r>
    </w:p>
    <w:p>
      <w:pPr>
        <w:pStyle w:val="BodyText"/>
      </w:pPr>
      <w:r>
        <w:t xml:space="preserve">Product Line</w:t>
      </w:r>
    </w:p>
    <w:p>
      <w:pPr>
        <w:pStyle w:val="BodyText"/>
      </w:pPr>
      <w:r>
        <w:t xml:space="preserve">Q1 2023 (€)</w:t>
      </w:r>
    </w:p>
    <w:p>
      <w:pPr>
        <w:pStyle w:val="BodyText"/>
      </w:pPr>
      <w:r>
        <w:t xml:space="preserve">Q3 2023 (€)</w:t>
      </w:r>
    </w:p>
    <w:p>
      <w:pPr>
        <w:pStyle w:val="BodyText"/>
      </w:pPr>
      <w:r>
        <w:t xml:space="preserve">% Change</w:t>
      </w:r>
    </w:p>
    <w:p>
      <w:pPr>
        <w:pStyle w:val="BodyText"/>
      </w:pPr>
      <w:r>
        <w:t xml:space="preserve">PrecisionArc Pro Series</w:t>
      </w:r>
    </w:p>
    <w:p>
      <w:pPr>
        <w:pStyle w:val="BodyText"/>
      </w:pPr>
      <w:r>
        <w:t xml:space="preserve">185,400</w:t>
      </w:r>
    </w:p>
    <w:p>
      <w:pPr>
        <w:pStyle w:val="BodyText"/>
      </w:pPr>
      <w:r>
        <w:t xml:space="preserve">398,700</w:t>
      </w:r>
    </w:p>
    <w:p>
      <w:pPr>
        <w:pStyle w:val="BodyText"/>
      </w:pPr>
      <w:r>
        <w:t xml:space="preserve">+115%</w:t>
      </w:r>
    </w:p>
    <w:p>
      <w:pPr>
        <w:pStyle w:val="BodyText"/>
      </w:pPr>
      <w:r>
        <w:t xml:space="preserve">AeroWeld Compact</w:t>
      </w:r>
    </w:p>
    <w:p>
      <w:pPr>
        <w:pStyle w:val="BodyText"/>
      </w:pPr>
      <w:r>
        <w:t xml:space="preserve">72,600</w:t>
      </w:r>
    </w:p>
    <w:p>
      <w:pPr>
        <w:pStyle w:val="BodyText"/>
      </w:pPr>
      <w:r>
        <w:t xml:space="preserve">243,200</w:t>
      </w:r>
    </w:p>
    <w:p>
      <w:pPr>
        <w:pStyle w:val="BodyText"/>
      </w:pPr>
      <w:r>
        <w:t xml:space="preserve">+234%</w:t>
      </w:r>
    </w:p>
    <w:p>
      <w:pPr>
        <w:pStyle w:val="BodyText"/>
      </w:pPr>
      <w:r>
        <w:t xml:space="preserve">SolarGrid Fusion System</w:t>
      </w:r>
    </w:p>
    <w:p>
      <w:pPr>
        <w:pStyle w:val="BodyText"/>
      </w:pPr>
      <w:r>
        <w:t xml:space="preserve">41,800</w:t>
      </w:r>
    </w:p>
    <w:p>
      <w:pPr>
        <w:pStyle w:val="BodyText"/>
      </w:pPr>
      <w:r>
        <w:t xml:space="preserve">189,500</w:t>
      </w:r>
    </w:p>
    <w:p>
      <w:pPr>
        <w:pStyle w:val="BodyText"/>
      </w:pPr>
      <w:r>
        <w:t xml:space="preserve">+354%</w:t>
      </w:r>
    </w:p>
    <w:p>
      <w:pPr>
        <w:pStyle w:val="BodyText"/>
      </w:pPr>
      <w:r>
        <w:t xml:space="preserve">These figures demonstrate our welder solutions' rapid adoption in Munich's high-value sectors. Notably, the AeroWeld Compact achieved 78% market share in the portable welder segment at Bavarian engineering firms – a testament to its compliance with German quality certification (DIN EN ISO 9606). The significant growth in SolarGrid Fusion System sales directly correlates with Munich's €1.2B renewable energy investment pipeline, where our welder technology ensures zero-defect sealing for hydrogen storage tanks.</w:t>
      </w:r>
    </w:p>
    <w:bookmarkEnd w:id="22"/>
    <w:bookmarkStart w:id="23" w:name="X18979feae7f3b00646d97103624f1c58ace01b5"/>
    <w:p>
      <w:pPr>
        <w:pStyle w:val="Heading2"/>
      </w:pPr>
      <w:r>
        <w:t xml:space="preserve">Customer Success Stories: Munich Engineering Excellence</w:t>
      </w:r>
    </w:p>
    <w:p>
      <w:pPr>
        <w:pStyle w:val="FirstParagraph"/>
      </w:pPr>
      <w:r>
        <w:t xml:space="preserve">Our Sales Report incorporates direct feedback from key accounts in Germany Munich:</w:t>
      </w:r>
    </w:p>
    <w:p>
      <w:pPr>
        <w:pStyle w:val="BlockText"/>
      </w:pPr>
      <w:r>
        <w:t xml:space="preserve">"The PrecisionArc Pro's AI-assisted weld path optimization reduced rework by 63% at our BMW Plant Landshut. This wasn't just a purchase – it was a strategic integration into our production line. The German engineering community recognizes this welder as the new benchmark."</w:t>
      </w:r>
      <w:r>
        <w:br/>
      </w:r>
      <w:r>
        <w:rPr>
          <w:bCs/>
          <w:b/>
        </w:rPr>
        <w:t xml:space="preserve">- Stefan Vogel, Head of Manufacturing Engineering, BMW Group</w:t>
      </w:r>
    </w:p>
    <w:p>
      <w:pPr>
        <w:pStyle w:val="BlockText"/>
      </w:pPr>
      <w:r>
        <w:t xml:space="preserve">"When Munich's largest renewable energy consortium needed 200+ high-strength welds for their hydrogen pipeline project, our team selected your SolarGrid system. The welder's precision maintained material integrity at -40°C – impossible with older equipment. This single contract secured our market leadership in Bavaria."</w:t>
      </w:r>
      <w:r>
        <w:br/>
      </w:r>
      <w:r>
        <w:rPr>
          <w:bCs/>
          <w:b/>
        </w:rPr>
        <w:t xml:space="preserve">- Dr. Eva Schmidt, CTO, Bayern Green Energy</w:t>
      </w:r>
    </w:p>
    <w:bookmarkEnd w:id="23"/>
    <w:bookmarkStart w:id="24" w:name="X3bbf96ed5e083b262dad39a90f9740a21b7b2e0"/>
    <w:p>
      <w:pPr>
        <w:pStyle w:val="Heading2"/>
      </w:pPr>
      <w:r>
        <w:t xml:space="preserve">Competitive Differentiation in Germany Munich Market</w:t>
      </w:r>
    </w:p>
    <w:p>
      <w:pPr>
        <w:pStyle w:val="FirstParagraph"/>
      </w:pPr>
      <w:r>
        <w:t xml:space="preserve">Unlike generic welder manufacturers focusing on cost reduction, our strategy centers on technical superiority aligned with German engineering values. The Sales Report identifies three critical differentiators in the Munich competitive landscape:</w:t>
      </w:r>
    </w:p>
    <w:p>
      <w:pPr>
        <w:numPr>
          <w:ilvl w:val="0"/>
          <w:numId w:val="1002"/>
        </w:numPr>
        <w:pStyle w:val="Compact"/>
      </w:pPr>
      <w:r>
        <w:rPr>
          <w:bCs/>
          <w:b/>
        </w:rPr>
        <w:t xml:space="preserve">Compliance Engineering:</w:t>
      </w:r>
      <w:r>
        <w:t xml:space="preserve"> </w:t>
      </w:r>
      <w:r>
        <w:t xml:space="preserve">All products meet DIN 19100 (German welding standards) without third-party certification costs – a significant advantage over competitors like Fronius or Miller Electric in Munich's regulated market.</w:t>
      </w:r>
    </w:p>
    <w:p>
      <w:pPr>
        <w:numPr>
          <w:ilvl w:val="0"/>
          <w:numId w:val="1002"/>
        </w:numPr>
        <w:pStyle w:val="Compact"/>
      </w:pPr>
      <w:r>
        <w:rPr>
          <w:bCs/>
          <w:b/>
        </w:rPr>
        <w:t xml:space="preserve">Local Support Network:</w:t>
      </w:r>
      <w:r>
        <w:t xml:space="preserve"> </w:t>
      </w:r>
      <w:r>
        <w:t xml:space="preserve">Our Munich-based technical team (32 engineers) provides same-day response for welder maintenance – unmatched by international brands with central European service centers 8 hours away.</w:t>
      </w:r>
    </w:p>
    <w:p>
      <w:pPr>
        <w:numPr>
          <w:ilvl w:val="0"/>
          <w:numId w:val="1002"/>
        </w:numPr>
        <w:pStyle w:val="Compact"/>
      </w:pPr>
      <w:r>
        <w:rPr>
          <w:bCs/>
          <w:b/>
        </w:rPr>
        <w:t xml:space="preserve">Sustainability Metrics:</w:t>
      </w:r>
      <w:r>
        <w:t xml:space="preserve"> </w:t>
      </w:r>
      <w:r>
        <w:t xml:space="preserve">Our energy-efficient welders consume 40% less power than industry average, directly supporting Munich's "Climate Neutrality by 2035" initiative – a decisive factor in public-sector tenders.</w:t>
      </w:r>
    </w:p>
    <w:bookmarkEnd w:id="24"/>
    <w:bookmarkStart w:id="25" w:name="challenges-and-strategic-opportunities"/>
    <w:p>
      <w:pPr>
        <w:pStyle w:val="Heading2"/>
      </w:pPr>
      <w:r>
        <w:t xml:space="preserve">Challenges and Strategic Opportunities</w:t>
      </w:r>
    </w:p>
    <w:p>
      <w:pPr>
        <w:pStyle w:val="FirstParagraph"/>
      </w:pPr>
      <w:r>
        <w:t xml:space="preserve">The Sales Report acknowledges two key challenges requiring immediate action:</w:t>
      </w:r>
    </w:p>
    <w:p>
      <w:pPr>
        <w:numPr>
          <w:ilvl w:val="0"/>
          <w:numId w:val="1003"/>
        </w:numPr>
        <w:pStyle w:val="Compact"/>
      </w:pPr>
      <w:r>
        <w:rPr>
          <w:bCs/>
          <w:b/>
        </w:rPr>
        <w:t xml:space="preserve">Supply Chain Volatility:</w:t>
      </w:r>
      <w:r>
        <w:t xml:space="preserve"> </w:t>
      </w:r>
      <w:r>
        <w:t xml:space="preserve">Rising copper costs impacted welder component pricing by 19%. Mitigation strategy: Secured long-term contracts with Munich-based metal recyclers to stabilize material costs.</w:t>
      </w:r>
    </w:p>
    <w:p>
      <w:pPr>
        <w:numPr>
          <w:ilvl w:val="0"/>
          <w:numId w:val="1003"/>
        </w:numPr>
        <w:pStyle w:val="Compact"/>
      </w:pPr>
      <w:r>
        <w:rPr>
          <w:bCs/>
          <w:b/>
        </w:rPr>
        <w:t xml:space="preserve">Training Gap:</w:t>
      </w:r>
      <w:r>
        <w:t xml:space="preserve"> </w:t>
      </w:r>
      <w:r>
        <w:t xml:space="preserve">68% of Munich engineering firms requested certified welder operation training. Solution: Launched "Munich Welding Academy" – a partnership with Technical University of Munich (TUM) offering DIN-certified courses.</w:t>
      </w:r>
    </w:p>
    <w:p>
      <w:pPr>
        <w:pStyle w:val="FirstParagraph"/>
      </w:pPr>
      <w:r>
        <w:t xml:space="preserve">Simultaneously, we've identified three high-potential opportunities in Germany Munich:</w:t>
      </w:r>
    </w:p>
    <w:p>
      <w:pPr>
        <w:numPr>
          <w:ilvl w:val="0"/>
          <w:numId w:val="1004"/>
        </w:numPr>
        <w:pStyle w:val="Compact"/>
      </w:pPr>
      <w:r>
        <w:rPr>
          <w:bCs/>
          <w:b/>
        </w:rPr>
        <w:t xml:space="preserve">Aerospace Expansion:</w:t>
      </w:r>
      <w:r>
        <w:t xml:space="preserve"> </w:t>
      </w:r>
      <w:r>
        <w:t xml:space="preserve">Airbus' new Munich assembly line requires 50+ precision welders; we're positioned for a €2.8M contract.</w:t>
      </w:r>
    </w:p>
    <w:p>
      <w:pPr>
        <w:numPr>
          <w:ilvl w:val="0"/>
          <w:numId w:val="1004"/>
        </w:numPr>
        <w:pStyle w:val="Compact"/>
      </w:pPr>
      <w:r>
        <w:rPr>
          <w:bCs/>
          <w:b/>
        </w:rPr>
        <w:t xml:space="preserve">Infrastructure Modernization:</w:t>
      </w:r>
      <w:r>
        <w:t xml:space="preserve"> </w:t>
      </w:r>
      <w:r>
        <w:t xml:space="preserve">Bavaria's rail network upgrade project (€870M) mandates advanced welding – our SolarGrid system is in final testing.</w:t>
      </w:r>
    </w:p>
    <w:p>
      <w:pPr>
        <w:numPr>
          <w:ilvl w:val="0"/>
          <w:numId w:val="1004"/>
        </w:numPr>
        <w:pStyle w:val="Compact"/>
      </w:pPr>
      <w:r>
        <w:rPr>
          <w:bCs/>
          <w:b/>
        </w:rPr>
        <w:t xml:space="preserve">SME Market Penetration:</w:t>
      </w:r>
      <w:r>
        <w:t xml:space="preserve"> </w:t>
      </w:r>
      <w:r>
        <w:t xml:space="preserve">42% of Munich's 1,200 small engineering firms lack modern welders; targeted financing programs launched in Q3.</w:t>
      </w:r>
    </w:p>
    <w:bookmarkEnd w:id="25"/>
    <w:bookmarkStart w:id="26" w:name="Xcd40f0cde281cb792f24fcfdf1b00def63ecf8f"/>
    <w:p>
      <w:pPr>
        <w:pStyle w:val="Heading2"/>
      </w:pPr>
      <w:r>
        <w:t xml:space="preserve">Future Outlook: Strategic Roadmap for Germany Munich</w:t>
      </w:r>
    </w:p>
    <w:p>
      <w:pPr>
        <w:pStyle w:val="FirstParagraph"/>
      </w:pPr>
      <w:r>
        <w:t xml:space="preserve">This Sales Report concludes with a forward-looking strategy for our welder business in Munich. We project 45% revenue growth by Q4 2024, driven by:</w:t>
      </w:r>
    </w:p>
    <w:p>
      <w:pPr>
        <w:numPr>
          <w:ilvl w:val="0"/>
          <w:numId w:val="1005"/>
        </w:numPr>
        <w:pStyle w:val="Compact"/>
      </w:pPr>
      <w:r>
        <w:rPr>
          <w:bCs/>
          <w:b/>
        </w:rPr>
        <w:t xml:space="preserve">Product Innovation:</w:t>
      </w:r>
      <w:r>
        <w:t xml:space="preserve"> </w:t>
      </w:r>
      <w:r>
        <w:t xml:space="preserve">Launch of "Munich Edition" PrecisionArc (with integrated EU CO2 emission monitoring) in January 2024.</w:t>
      </w:r>
    </w:p>
    <w:p>
      <w:pPr>
        <w:numPr>
          <w:ilvl w:val="0"/>
          <w:numId w:val="1005"/>
        </w:numPr>
        <w:pStyle w:val="Compact"/>
      </w:pPr>
      <w:r>
        <w:rPr>
          <w:bCs/>
          <w:b/>
        </w:rPr>
        <w:t xml:space="preserve">Partnership Ecosystem:</w:t>
      </w:r>
      <w:r>
        <w:t xml:space="preserve"> </w:t>
      </w:r>
      <w:r>
        <w:t xml:space="preserve">Deepening collaboration with Munich's Chamber of Industry and Commerce for joint R&amp;D in sustainable welding.</w:t>
      </w:r>
    </w:p>
    <w:p>
      <w:pPr>
        <w:numPr>
          <w:ilvl w:val="0"/>
          <w:numId w:val="1005"/>
        </w:numPr>
        <w:pStyle w:val="Compact"/>
      </w:pPr>
      <w:r>
        <w:rPr>
          <w:bCs/>
          <w:b/>
        </w:rPr>
        <w:t xml:space="preserve">Market Expansion:</w:t>
      </w:r>
      <w:r>
        <w:t xml:space="preserve"> </w:t>
      </w:r>
      <w:r>
        <w:t xml:space="preserve">Targeting 37% market share across all industrial welder segments in Germany by end-2025 – up from 21% in Q3 2023.</w:t>
      </w:r>
    </w:p>
    <w:p>
      <w:pPr>
        <w:pStyle w:val="FirstParagraph"/>
      </w:pPr>
      <w:r>
        <w:t xml:space="preserve">The success of our welder solutions in Munich validates a strategic truth: German engineering excellence demands equipment engineered for precision, reliability, and compliance. As this Sales Report confirms, our technology isn't merely selling welders – it's enabling Munich's industrial future through superior welding solutions. We remain committed to the Germany Munich market as a core growth engine, with every welder shipped contributing directly to Bavaria's manufacturing legacy and sustainability goals.</w:t>
      </w:r>
    </w:p>
    <w:p>
      <w:pPr>
        <w:pStyle w:val="BodyText"/>
      </w:pPr>
      <w:r>
        <w:rPr>
          <w:bCs/>
          <w:b/>
        </w:rPr>
        <w:t xml:space="preserve">Prepared by: International Sales Analytics Division</w:t>
      </w:r>
      <w:r>
        <w:br/>
      </w:r>
      <w:r>
        <w:rPr>
          <w:bCs/>
          <w:b/>
        </w:rPr>
        <w:t xml:space="preserve">Date: October 26, 2023</w:t>
      </w:r>
      <w:r>
        <w:br/>
      </w:r>
      <w:r>
        <w:rPr>
          <w:bCs/>
          <w:b/>
        </w:rPr>
        <w:t xml:space="preserve">Confidential – For Internal Use Only (Germany Munich Regional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Solutions in Germany Munich Market</dc:title>
  <dc:creator/>
  <dc:language>en</dc:language>
  <cp:keywords/>
  <dcterms:created xsi:type="dcterms:W3CDTF">2026-07-20T23:02:12Z</dcterms:created>
  <dcterms:modified xsi:type="dcterms:W3CDTF">2026-07-20T23:02:12Z</dcterms:modified>
</cp:coreProperties>
</file>

<file path=docProps/custom.xml><?xml version="1.0" encoding="utf-8"?>
<Properties xmlns="http://schemas.openxmlformats.org/officeDocument/2006/custom-properties" xmlns:vt="http://schemas.openxmlformats.org/officeDocument/2006/docPropsVTypes"/>
</file>