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Indonesia</w:t>
      </w:r>
      <w:r>
        <w:t xml:space="preserve"> </w:t>
      </w:r>
      <w:r>
        <w:t xml:space="preserve">Jakarta</w:t>
      </w:r>
      <w:r>
        <w:t xml:space="preserve"> </w:t>
      </w:r>
      <w:r>
        <w:t xml:space="preserve">Market</w:t>
      </w:r>
    </w:p>
    <w:bookmarkStart w:id="26" w:name="Xe8e398e7f8861c72c70be28412d4172e6419a59"/>
    <w:p>
      <w:pPr>
        <w:pStyle w:val="Heading1"/>
      </w:pPr>
      <w:r>
        <w:t xml:space="preserve">SALES REPORT &amp; MARKET ANALYSIS FOR WELDER SOLUTIONS IN INDONESIA JAKARTA</w:t>
      </w:r>
    </w:p>
    <w:p>
      <w:pPr>
        <w:pStyle w:val="FirstParagraph"/>
      </w:pPr>
      <w:r>
        <w:t xml:space="preserve">Prepared for Strategic Decision-Making in Southeast Asia's Industrial Hub</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WELDER equipment sales in Indonesia Jakarta during Q1-Q3 2024. Jakarta's infrastructure boom—including the</w:t>
      </w:r>
      <w:r>
        <w:t xml:space="preserve"> </w:t>
      </w:r>
      <w:r>
        <w:rPr>
          <w:iCs/>
          <w:i/>
        </w:rPr>
        <w:t xml:space="preserve">National Capital City Master Plan (RKUKN)</w:t>
      </w:r>
      <w:r>
        <w:t xml:space="preserve">, port expansions at Tanjung Priok, and massive industrial estate developments—has created unprecedented demand for reliable welding solutions. Our WELDER portfolio achieved a 37% year-over-year sales growth in INDONESIA JAKARTA, exceeding regional targets by 15%. This report confirms Jakarta as the undisputed epicenter of welding equipment demand in Indonesia, driven by construction acceleration and manufacturing localization initiatives.</w:t>
      </w:r>
    </w:p>
    <w:bookmarkEnd w:id="20"/>
    <w:bookmarkStart w:id="21" w:name="Xc51bed2988eadeb2feb66a3630207ce4234bb8d"/>
    <w:p>
      <w:pPr>
        <w:pStyle w:val="Heading2"/>
      </w:pPr>
      <w:r>
        <w:t xml:space="preserve">Market Analysis: Jakarta's Welding Ecosystem</w:t>
      </w:r>
    </w:p>
    <w:p>
      <w:pPr>
        <w:pStyle w:val="FirstParagraph"/>
      </w:pPr>
      <w:r>
        <w:t xml:space="preserve">Indonesia Jakarta has evolved into a welding equipment consumption hotspot, accounting for 42% of all industrial welder sales in Indonesia. Key drivers include:</w:t>
      </w:r>
    </w:p>
    <w:p>
      <w:pPr>
        <w:numPr>
          <w:ilvl w:val="0"/>
          <w:numId w:val="1001"/>
        </w:numPr>
        <w:pStyle w:val="Compact"/>
      </w:pPr>
      <w:r>
        <w:rPr>
          <w:bCs/>
          <w:b/>
        </w:rPr>
        <w:t xml:space="preserve">Infrastructure Surge</w:t>
      </w:r>
      <w:r>
        <w:t xml:space="preserve">: The Jakarta MRT Phase 3 expansion, Cikarang Industrial Park upgrades, and the new Jakarta International Airport (JIA) Terminal 3 require over 12,000 welding joints daily. This generates consistent demand for portable WELDER units.</w:t>
      </w:r>
    </w:p>
    <w:p>
      <w:pPr>
        <w:numPr>
          <w:ilvl w:val="0"/>
          <w:numId w:val="1001"/>
        </w:numPr>
        <w:pStyle w:val="Compact"/>
      </w:pPr>
      <w:r>
        <w:rPr>
          <w:bCs/>
          <w:b/>
        </w:rPr>
        <w:t xml:space="preserve">Oil &amp; Gas Investments</w:t>
      </w:r>
      <w:r>
        <w:t xml:space="preserve">: Pertamina's $5.8B refinery modernization project in Cilacap (serving Jakarta supply chains) demands high-precision TIG welders, increasing our premium WELDER sales by 28% YoY.</w:t>
      </w:r>
    </w:p>
    <w:p>
      <w:pPr>
        <w:numPr>
          <w:ilvl w:val="0"/>
          <w:numId w:val="1001"/>
        </w:numPr>
        <w:pStyle w:val="Compact"/>
      </w:pPr>
      <w:r>
        <w:rPr>
          <w:bCs/>
          <w:b/>
        </w:rPr>
        <w:t xml:space="preserve">Manufacturing Localization</w:t>
      </w:r>
      <w:r>
        <w:t xml:space="preserve">: With Indonesia's "Making Indonesia 4.0" initiative, local manufacturers like PT Surya Semesta Internusa (SSI) now prioritize domestically supported welding solutions, favoring our Jakarta-based service network.</w:t>
      </w:r>
    </w:p>
    <w:p>
      <w:pPr>
        <w:pStyle w:val="FirstParagraph"/>
      </w:pPr>
      <w:r>
        <w:t xml:space="preserve">The monsoon season (November-March) historically disrupts construction, but our weather-resistant WELDER models (e.g., the</w:t>
      </w:r>
      <w:r>
        <w:t xml:space="preserve"> </w:t>
      </w:r>
      <w:r>
        <w:rPr>
          <w:iCs/>
          <w:i/>
        </w:rPr>
        <w:t xml:space="preserve">WeldMaster 500</w:t>
      </w:r>
      <w:r>
        <w:t xml:space="preserve">) maintained 92% operational uptime during 2023 floods—a critical differentiator in INDONESIA JAKARTA's climate.</w:t>
      </w:r>
    </w:p>
    <w:bookmarkEnd w:id="21"/>
    <w:bookmarkStart w:id="22" w:name="product-performance-highlights"/>
    <w:p>
      <w:pPr>
        <w:pStyle w:val="Heading2"/>
      </w:pPr>
      <w:r>
        <w:t xml:space="preserve">Product Performance Highlights</w:t>
      </w:r>
    </w:p>
    <w:p>
      <w:pPr>
        <w:pStyle w:val="FirstParagraph"/>
      </w:pPr>
      <w:r>
        <w:t xml:space="preserve">Our WELDER product line achieved record penetration in INDONESIA JAKARTA through strategic local adaptation: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2024 Sales (IDR)</w:t>
            </w:r>
          </w:p>
        </w:tc>
        <w:tc>
          <w:tcPr/>
          <w:p>
            <w:pPr>
              <w:pStyle w:val="Compact"/>
              <w:jc w:val="left"/>
            </w:pPr>
            <w:r>
              <w:t xml:space="preserve">YoY Growth</w:t>
            </w:r>
          </w:p>
        </w:tc>
        <w:tc>
          <w:tcPr/>
          <w:p>
            <w:pPr>
              <w:pStyle w:val="Compact"/>
              <w:jc w:val="left"/>
            </w:pPr>
            <w:r>
              <w:t xml:space="preserve">Key Jakarta Projects Utilized</w:t>
            </w:r>
          </w:p>
        </w:tc>
      </w:tr>
      <w:tr>
        <w:tc>
          <w:tcPr/>
          <w:p>
            <w:pPr>
              <w:pStyle w:val="Compact"/>
              <w:jc w:val="left"/>
            </w:pPr>
            <w:r>
              <w:t xml:space="preserve">Portable MIG Welders (WeldMaster Lite)</w:t>
            </w:r>
          </w:p>
        </w:tc>
        <w:tc>
          <w:tcPr/>
          <w:p>
            <w:pPr>
              <w:pStyle w:val="Compact"/>
              <w:jc w:val="left"/>
            </w:pPr>
            <w:r>
              <w:t xml:space="preserve">IDR 24.7B</w:t>
            </w:r>
          </w:p>
        </w:tc>
        <w:tc>
          <w:tcPr/>
          <w:p>
            <w:pPr>
              <w:pStyle w:val="Compact"/>
              <w:jc w:val="left"/>
            </w:pPr>
            <w:r>
              <w:t xml:space="preserve">+41%</w:t>
            </w:r>
          </w:p>
        </w:tc>
        <w:tc>
          <w:tcPr/>
          <w:p>
            <w:pPr>
              <w:pStyle w:val="Compact"/>
              <w:jc w:val="left"/>
            </w:pPr>
            <w:r>
              <w:t xml:space="preserve">Transjakarta BRT Expansion, Jakarta Water Treatment Plants</w:t>
            </w:r>
          </w:p>
        </w:tc>
      </w:tr>
      <w:tr>
        <w:tc>
          <w:tcPr/>
          <w:p>
            <w:pPr>
              <w:pStyle w:val="Compact"/>
              <w:jc w:val="left"/>
            </w:pPr>
            <w:r>
              <w:t xml:space="preserve">Robotic Welding Systems (WeldBot Pro)</w:t>
            </w:r>
          </w:p>
        </w:tc>
        <w:tc>
          <w:tcPr/>
          <w:p>
            <w:pPr>
              <w:pStyle w:val="Compact"/>
              <w:jc w:val="left"/>
            </w:pPr>
            <w:r>
              <w:t xml:space="preserve">IDR 18.3B</w:t>
            </w:r>
          </w:p>
        </w:tc>
        <w:tc>
          <w:tcPr/>
          <w:p>
            <w:pPr>
              <w:pStyle w:val="Compact"/>
              <w:jc w:val="left"/>
            </w:pPr>
            <w:r>
              <w:t xml:space="preserve">+29%</w:t>
            </w:r>
          </w:p>
        </w:tc>
        <w:tc>
          <w:tcPr/>
          <w:p>
            <w:pPr>
              <w:pStyle w:val="Compact"/>
              <w:jc w:val="left"/>
            </w:pPr>
            <w:r>
              <w:t xml:space="preserve">Pertamina Refinery, Hyundai Motor Plant Cikarang</w:t>
            </w:r>
          </w:p>
        </w:tc>
      </w:tr>
      <w:tr>
        <w:tc>
          <w:tcPr/>
          <w:p>
            <w:pPr>
              <w:pStyle w:val="Compact"/>
              <w:jc w:val="left"/>
            </w:pPr>
            <w:r>
              <w:t xml:space="preserve">Specialty TIG Welders (IndoShield Series)</w:t>
            </w:r>
          </w:p>
        </w:tc>
        <w:tc>
          <w:tcPr/>
          <w:p>
            <w:pPr>
              <w:pStyle w:val="Compact"/>
              <w:jc w:val="left"/>
            </w:pPr>
            <w:r>
              <w:t xml:space="preserve">IDR 9.6B</w:t>
            </w:r>
          </w:p>
        </w:tc>
        <w:tc>
          <w:tcPr/>
          <w:p>
            <w:pPr>
              <w:pStyle w:val="Compact"/>
              <w:jc w:val="left"/>
            </w:pPr>
            <w:r>
              <w:t xml:space="preserve">+33%</w:t>
            </w:r>
          </w:p>
        </w:tc>
        <w:tc>
          <w:tcPr/>
          <w:p>
            <w:pPr>
              <w:pStyle w:val="Compact"/>
              <w:jc w:val="left"/>
            </w:pPr>
            <w:r>
              <w:t xml:space="preserve">Tanjung Priok Port Steel Reinforcement, Jakarta-Bandung High-Speed Rail</w:t>
            </w:r>
          </w:p>
        </w:tc>
      </w:tr>
    </w:tbl>
    <w:bookmarkEnd w:id="22"/>
    <w:bookmarkStart w:id="23" w:name="jakarta-specific-challenges-solutions"/>
    <w:p>
      <w:pPr>
        <w:pStyle w:val="Heading2"/>
      </w:pPr>
      <w:r>
        <w:t xml:space="preserve">Jakarta-Specific Challenges &amp; Solutions</w:t>
      </w:r>
    </w:p>
    <w:p>
      <w:pPr>
        <w:pStyle w:val="FirstParagraph"/>
      </w:pPr>
      <w:r>
        <w:t xml:space="preserve">Operating in INDONESIA JAKARTA demands unique market insights. Our sales team identified three critical challenges and deployed WELDER-specific solutions:</w:t>
      </w:r>
    </w:p>
    <w:p>
      <w:pPr>
        <w:numPr>
          <w:ilvl w:val="0"/>
          <w:numId w:val="1002"/>
        </w:numPr>
        <w:pStyle w:val="Compact"/>
      </w:pPr>
      <w:r>
        <w:rPr>
          <w:bCs/>
          <w:b/>
        </w:rPr>
        <w:t xml:space="preserve">Infrastructure Fragmentation</w:t>
      </w:r>
      <w:r>
        <w:t xml:space="preserve">: Jakarta's complex construction sites (e.g., under-bridge work on Jalan Tol) required compact, mobile welders. We launched the</w:t>
      </w:r>
      <w:r>
        <w:t xml:space="preserve"> </w:t>
      </w:r>
      <w:r>
        <w:rPr>
          <w:iCs/>
          <w:i/>
        </w:rPr>
        <w:t xml:space="preserve">WeldMaster Compact</w:t>
      </w:r>
      <w:r>
        <w:t xml:space="preserve">, reducing setup time by 65% and capturing 22% of the city's portable segment.</w:t>
      </w:r>
    </w:p>
    <w:p>
      <w:pPr>
        <w:numPr>
          <w:ilvl w:val="0"/>
          <w:numId w:val="1002"/>
        </w:numPr>
        <w:pStyle w:val="Compact"/>
      </w:pPr>
      <w:r>
        <w:rPr>
          <w:bCs/>
          <w:b/>
        </w:rPr>
        <w:t xml:space="preserve">Safety Compliance Pressure</w:t>
      </w:r>
      <w:r>
        <w:t xml:space="preserve">: Jakarta's strict SNI-03-1470-2019 welding safety standards were a barrier. Our new WELDER units include built-in SNI certification modules and free Jakarta-based safety training—increasing enterprise adoption by 36%.</w:t>
      </w:r>
    </w:p>
    <w:p>
      <w:pPr>
        <w:numPr>
          <w:ilvl w:val="0"/>
          <w:numId w:val="1002"/>
        </w:numPr>
        <w:pStyle w:val="Compact"/>
      </w:pPr>
      <w:r>
        <w:rPr>
          <w:bCs/>
          <w:b/>
        </w:rPr>
        <w:t xml:space="preserve">After-Sales Service Gaps</w:t>
      </w:r>
      <w:r>
        <w:t xml:space="preserve">: Competitors failed to maintain service in remote Jakarta districts (e.g., Ciputat, Bekasi). We established 7 Jakarta satellite service centers, achieving</w:t>
      </w:r>
      <w:r>
        <w:t xml:space="preserve"> </w:t>
      </w:r>
      <w:r>
        <w:rPr>
          <w:iCs/>
          <w:i/>
        </w:rPr>
        <w:t xml:space="preserve">94% same-day support response</w:t>
      </w:r>
      <w:r>
        <w:t xml:space="preserve">, a key factor in winning contracts with Wijaya Karya and Adhi Karya.</w:t>
      </w:r>
    </w:p>
    <w:bookmarkEnd w:id="23"/>
    <w:bookmarkStart w:id="24" w:name="X8286da1290d8b6a5df73cce86f8607523371501"/>
    <w:p>
      <w:pPr>
        <w:pStyle w:val="Heading2"/>
      </w:pPr>
      <w:r>
        <w:t xml:space="preserve">Strategic Recommendations for INDONESIA JAKARTA</w:t>
      </w:r>
    </w:p>
    <w:p>
      <w:pPr>
        <w:pStyle w:val="FirstParagraph"/>
      </w:pPr>
      <w:r>
        <w:t xml:space="preserve">Based on this SALES REPORT, we recommend three priority actions to dominate the Jakarta market:</w:t>
      </w:r>
    </w:p>
    <w:p>
      <w:pPr>
        <w:numPr>
          <w:ilvl w:val="0"/>
          <w:numId w:val="1003"/>
        </w:numPr>
        <w:pStyle w:val="Compact"/>
      </w:pPr>
      <w:r>
        <w:rPr>
          <w:bCs/>
          <w:b/>
        </w:rPr>
        <w:t xml:space="preserve">Expand "Jakarta-Ready" Product Line</w:t>
      </w:r>
      <w:r>
        <w:t xml:space="preserve">: Develop welder models with dual-voltage compatibility (220V/110V) for Jakarta's unreliable grid, targeting 50% of new sales by Q1 2025.</w:t>
      </w:r>
    </w:p>
    <w:p>
      <w:pPr>
        <w:numPr>
          <w:ilvl w:val="0"/>
          <w:numId w:val="1003"/>
        </w:numPr>
        <w:pStyle w:val="Compact"/>
      </w:pPr>
      <w:r>
        <w:rPr>
          <w:bCs/>
          <w:b/>
        </w:rPr>
        <w:t xml:space="preserve">Leverage Government Partnerships</w:t>
      </w:r>
      <w:r>
        <w:t xml:space="preserve">: Collaborate with PT. Pelabuhan Indonesia (Pelindo) on port infrastructure projects—Jakarta's Tanjung Priok is the nation's busiest, requiring 30+ welders/month.</w:t>
      </w:r>
    </w:p>
    <w:p>
      <w:pPr>
        <w:numPr>
          <w:ilvl w:val="0"/>
          <w:numId w:val="1003"/>
        </w:numPr>
        <w:pStyle w:val="Compact"/>
      </w:pPr>
      <w:r>
        <w:rPr>
          <w:bCs/>
          <w:b/>
        </w:rPr>
        <w:t xml:space="preserve">Localize Training Programs</w:t>
      </w:r>
      <w:r>
        <w:t xml:space="preserve">: Partner with Jakarta Polytechnics to create SNI-certified welding technician courses using our equipment, ensuring a pipeline of skilled workers and product loyalty.</w:t>
      </w:r>
    </w:p>
    <w:bookmarkEnd w:id="24"/>
    <w:bookmarkStart w:id="25" w:name="conclusion-the-jakarta-imperative"/>
    <w:p>
      <w:pPr>
        <w:pStyle w:val="Heading2"/>
      </w:pPr>
      <w:r>
        <w:t xml:space="preserve">Conclusion: The Jakarta Imperative</w:t>
      </w:r>
    </w:p>
    <w:p>
      <w:pPr>
        <w:pStyle w:val="FirstParagraph"/>
      </w:pPr>
      <w:r>
        <w:t xml:space="preserve">The INDONESIA JAKARTA market isn't just a sales region—it's the strategic nerve center for our Southeast Asian welding business. With Jakarta driving over half of Indonesia's industrial welding demand, our WELDER solutions have proven indispensable in enabling the city's transformation into a manufacturing and infrastructure powerhouse. The data from this SALES REPORT confirms that localized product adaptation, compliance with Indonesian standards, and hyper-focused after-sales support are non-negotiables for success.</w:t>
      </w:r>
    </w:p>
    <w:p>
      <w:pPr>
        <w:pStyle w:val="BodyText"/>
      </w:pPr>
      <w:r>
        <w:t xml:space="preserve">Looking ahead to 2025, we project Jakarta's WELDER market will reach IDR 186 billion (USD $12.4M), growing at 19% annually. Our current strategy positions us to capture 35% market share—up from 28% in Q3 2023. As the city's skyline redefines itself, our WELDER equipment remains the silent backbone of its construction revolution.</w:t>
      </w:r>
    </w:p>
    <w:p>
      <w:pPr>
        <w:pStyle w:val="BodyText"/>
      </w:pPr>
      <w:r>
        <w:t xml:space="preserve">Prepared by Global Welding Solutions - Jakarta Market Intelligence Team</w:t>
      </w:r>
    </w:p>
    <w:p>
      <w:pPr>
        <w:pStyle w:val="BodyText"/>
      </w:pPr>
      <w:r>
        <w:t xml:space="preserve">Date: October 26, 2024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Welder Solutions for Indonesia Jakarta Market</dc:title>
  <dc:creator/>
  <cp:keywords/>
  <dcterms:created xsi:type="dcterms:W3CDTF">2026-07-21T06:00:39Z</dcterms:created>
  <dcterms:modified xsi:type="dcterms:W3CDTF">2026-07-21T06:00:39Z</dcterms:modified>
</cp:coreProperties>
</file>

<file path=docProps/custom.xml><?xml version="1.0" encoding="utf-8"?>
<Properties xmlns="http://schemas.openxmlformats.org/officeDocument/2006/custom-properties" xmlns:vt="http://schemas.openxmlformats.org/officeDocument/2006/docPropsVTypes"/>
</file>